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E0730" w14:textId="77777777" w:rsidR="00C26B3C" w:rsidRDefault="00310BDA" w:rsidP="00C26B3C">
      <w:pPr>
        <w:spacing w:line="480" w:lineRule="auto"/>
        <w:ind w:firstLine="720"/>
        <w:rPr>
          <w:rFonts w:ascii="Times New Roman" w:hAnsi="Times New Roman" w:cs="Times New Roman"/>
          <w:b/>
        </w:rPr>
      </w:pPr>
      <w:r w:rsidRPr="00310BDA">
        <w:rPr>
          <w:rFonts w:ascii="Times New Roman" w:hAnsi="Times New Roman" w:cs="Times New Roman"/>
          <w:b/>
        </w:rPr>
        <w:t>Definition</w:t>
      </w:r>
    </w:p>
    <w:p w14:paraId="56BF0D12" w14:textId="199F31DD" w:rsidR="00C26B3C" w:rsidRDefault="00C26B3C" w:rsidP="00C26B3C">
      <w:pPr>
        <w:spacing w:line="480" w:lineRule="auto"/>
        <w:ind w:firstLine="720"/>
        <w:rPr>
          <w:rFonts w:ascii="Times New Roman" w:hAnsi="Times New Roman" w:cs="Times New Roman"/>
          <w:b/>
        </w:rPr>
      </w:pPr>
      <w:r>
        <w:rPr>
          <w:rFonts w:ascii="Times New Roman" w:hAnsi="Times New Roman" w:cs="Times New Roman"/>
          <w:b/>
        </w:rPr>
        <w:t xml:space="preserve">Lanham </w:t>
      </w:r>
      <w:proofErr w:type="gramStart"/>
      <w:r>
        <w:rPr>
          <w:rFonts w:ascii="Times New Roman" w:hAnsi="Times New Roman" w:cs="Times New Roman"/>
          <w:b/>
        </w:rPr>
        <w:t>- ?</w:t>
      </w:r>
      <w:proofErr w:type="gramEnd"/>
      <w:r>
        <w:rPr>
          <w:rFonts w:ascii="Times New Roman" w:hAnsi="Times New Roman" w:cs="Times New Roman"/>
          <w:b/>
        </w:rPr>
        <w:t>??</w:t>
      </w:r>
    </w:p>
    <w:p w14:paraId="529E662F" w14:textId="4F9D24CA" w:rsidR="00C26B3C" w:rsidRDefault="00C26B3C" w:rsidP="00C26B3C">
      <w:pPr>
        <w:spacing w:line="480" w:lineRule="auto"/>
        <w:ind w:firstLine="720"/>
        <w:rPr>
          <w:rFonts w:ascii="Times New Roman" w:hAnsi="Times New Roman" w:cs="Times New Roman"/>
          <w:b/>
        </w:rPr>
      </w:pPr>
      <w:proofErr w:type="spellStart"/>
      <w:r>
        <w:rPr>
          <w:rFonts w:ascii="Times New Roman" w:hAnsi="Times New Roman" w:cs="Times New Roman"/>
          <w:b/>
        </w:rPr>
        <w:t>Losh</w:t>
      </w:r>
      <w:proofErr w:type="spellEnd"/>
      <w:r>
        <w:rPr>
          <w:rFonts w:ascii="Times New Roman" w:hAnsi="Times New Roman" w:cs="Times New Roman"/>
          <w:b/>
        </w:rPr>
        <w:t xml:space="preserve"> – 4 part definition</w:t>
      </w:r>
    </w:p>
    <w:p w14:paraId="51715F13" w14:textId="03C6CACE" w:rsidR="00310BDA" w:rsidRPr="00C26B3C" w:rsidRDefault="00310BDA" w:rsidP="00C26B3C">
      <w:pPr>
        <w:spacing w:line="480" w:lineRule="auto"/>
        <w:ind w:firstLine="720"/>
        <w:rPr>
          <w:rFonts w:ascii="Times New Roman" w:hAnsi="Times New Roman" w:cs="Times New Roman"/>
          <w:b/>
        </w:rPr>
      </w:pPr>
      <w:r w:rsidRPr="00543E65">
        <w:rPr>
          <w:rFonts w:ascii="Times New Roman" w:hAnsi="Times New Roman" w:cs="Times New Roman"/>
        </w:rPr>
        <w:t xml:space="preserve">Carolyn </w:t>
      </w:r>
      <w:proofErr w:type="spellStart"/>
      <w:r w:rsidRPr="00543E65">
        <w:rPr>
          <w:rFonts w:ascii="Times New Roman" w:hAnsi="Times New Roman" w:cs="Times New Roman"/>
        </w:rPr>
        <w:t>Handa’s</w:t>
      </w:r>
      <w:proofErr w:type="spellEnd"/>
      <w:r w:rsidRPr="00543E65">
        <w:rPr>
          <w:rFonts w:ascii="Times New Roman" w:hAnsi="Times New Roman" w:cs="Times New Roman"/>
        </w:rPr>
        <w:t xml:space="preserve"> book </w:t>
      </w:r>
      <w:r w:rsidRPr="00543E65">
        <w:rPr>
          <w:rFonts w:ascii="Times New Roman" w:hAnsi="Times New Roman" w:cs="Times New Roman"/>
          <w:i/>
        </w:rPr>
        <w:t xml:space="preserve">The </w:t>
      </w:r>
      <w:proofErr w:type="spellStart"/>
      <w:r w:rsidRPr="00543E65">
        <w:rPr>
          <w:rFonts w:ascii="Times New Roman" w:hAnsi="Times New Roman" w:cs="Times New Roman"/>
          <w:i/>
        </w:rPr>
        <w:t>Multimediated</w:t>
      </w:r>
      <w:proofErr w:type="spellEnd"/>
      <w:r w:rsidRPr="00543E65">
        <w:rPr>
          <w:rFonts w:ascii="Times New Roman" w:hAnsi="Times New Roman" w:cs="Times New Roman"/>
          <w:i/>
        </w:rPr>
        <w:t xml:space="preserve"> Rhetoric of the Internet: Digital Fusion</w:t>
      </w:r>
      <w:r w:rsidRPr="00543E65">
        <w:rPr>
          <w:rFonts w:ascii="Times New Roman" w:hAnsi="Times New Roman" w:cs="Times New Roman"/>
        </w:rPr>
        <w:t xml:space="preserve"> defines digital rhetoric as:</w:t>
      </w:r>
    </w:p>
    <w:p w14:paraId="07F39A6E" w14:textId="77777777" w:rsidR="00C26B3C" w:rsidRDefault="00310BDA" w:rsidP="00C26B3C">
      <w:pPr>
        <w:spacing w:line="480" w:lineRule="auto"/>
        <w:ind w:left="720"/>
        <w:rPr>
          <w:rFonts w:ascii="Times New Roman" w:hAnsi="Times New Roman" w:cs="Times New Roman"/>
        </w:rPr>
      </w:pPr>
      <w:r w:rsidRPr="00543E65">
        <w:rPr>
          <w:rFonts w:ascii="Times New Roman" w:hAnsi="Times New Roman" w:cs="Times New Roman"/>
        </w:rPr>
        <w:t>“</w:t>
      </w:r>
      <w:proofErr w:type="gramStart"/>
      <w:r w:rsidRPr="00543E65">
        <w:rPr>
          <w:rFonts w:ascii="Times New Roman" w:hAnsi="Times New Roman" w:cs="Times New Roman"/>
        </w:rPr>
        <w:t>simply</w:t>
      </w:r>
      <w:proofErr w:type="gramEnd"/>
      <w:r w:rsidRPr="00543E65">
        <w:rPr>
          <w:rFonts w:ascii="Times New Roman" w:hAnsi="Times New Roman" w:cs="Times New Roman"/>
        </w:rPr>
        <w:t xml:space="preserve"> (or maybe not so simply) traditional rhetoric applied visually as well as textually. It is not another form of rhetoric. We do not switch from digital to traditional rhetoric. All of the components we are accustomed to discussing in traditional rhetoric, especially having to do with style and arrangement for the purposes of conducting logical, discursive, persuasive arguments, are elements that can occur visually” (p. 18). </w:t>
      </w:r>
    </w:p>
    <w:p w14:paraId="4B72400E" w14:textId="27781154" w:rsidR="00310BDA" w:rsidRPr="00543E65" w:rsidRDefault="00310BDA" w:rsidP="00C26B3C">
      <w:pPr>
        <w:spacing w:line="480" w:lineRule="auto"/>
        <w:ind w:firstLine="720"/>
        <w:rPr>
          <w:rFonts w:ascii="Times New Roman" w:hAnsi="Times New Roman" w:cs="Times New Roman"/>
        </w:rPr>
      </w:pPr>
      <w:r w:rsidRPr="00543E65">
        <w:rPr>
          <w:rFonts w:ascii="Times New Roman" w:hAnsi="Times New Roman" w:cs="Times New Roman"/>
        </w:rPr>
        <w:t xml:space="preserve">This definition attempts to link traditional rhetorical practices to those in digital spaces. Doing so tends to give more attention to the elements of persuasion due to the fact that this definition keeps in line with Aristotle’s definition of rhetoric. </w:t>
      </w:r>
    </w:p>
    <w:p w14:paraId="79103F36" w14:textId="77777777" w:rsidR="00310BDA" w:rsidRPr="00543E65" w:rsidRDefault="00310BDA" w:rsidP="00535A81">
      <w:pPr>
        <w:spacing w:line="480" w:lineRule="auto"/>
        <w:ind w:firstLine="720"/>
        <w:rPr>
          <w:rFonts w:ascii="Times New Roman" w:hAnsi="Times New Roman" w:cs="Times New Roman"/>
        </w:rPr>
      </w:pPr>
      <w:proofErr w:type="spellStart"/>
      <w:r w:rsidRPr="00543E65">
        <w:rPr>
          <w:rFonts w:ascii="Times New Roman" w:hAnsi="Times New Roman" w:cs="Times New Roman"/>
        </w:rPr>
        <w:t>Zappen</w:t>
      </w:r>
      <w:proofErr w:type="spellEnd"/>
      <w:r w:rsidRPr="00543E65">
        <w:rPr>
          <w:rFonts w:ascii="Times New Roman" w:hAnsi="Times New Roman" w:cs="Times New Roman"/>
        </w:rPr>
        <w:t xml:space="preserve"> (2005) in “</w:t>
      </w:r>
      <w:r w:rsidRPr="00543E65">
        <w:rPr>
          <w:rFonts w:ascii="Times New Roman" w:hAnsi="Times New Roman" w:cs="Times New Roman"/>
          <w:lang w:eastAsia="ja-JP"/>
        </w:rPr>
        <w:t>Digital rhetoric: Toward an integrated theory”</w:t>
      </w:r>
      <w:r w:rsidRPr="00543E65">
        <w:rPr>
          <w:rFonts w:ascii="Times New Roman" w:hAnsi="Times New Roman" w:cs="Times New Roman"/>
        </w:rPr>
        <w:t xml:space="preserve"> attempts to differentiate between traditional and digital rhetoric. He defines digital rhetoric as “traditional rhetorical strategies function in digital spaces and suggest how these strategies are reconfigured within these spaces” (p. 319). </w:t>
      </w:r>
      <w:proofErr w:type="spellStart"/>
      <w:r w:rsidRPr="00543E65">
        <w:rPr>
          <w:rFonts w:ascii="Times New Roman" w:hAnsi="Times New Roman" w:cs="Times New Roman"/>
        </w:rPr>
        <w:t>Zappen</w:t>
      </w:r>
      <w:proofErr w:type="spellEnd"/>
      <w:r w:rsidRPr="00543E65">
        <w:rPr>
          <w:rFonts w:ascii="Times New Roman" w:hAnsi="Times New Roman" w:cs="Times New Roman"/>
        </w:rPr>
        <w:t xml:space="preserve"> situates his understanding of digital rhetoric within the digital space the writing and communication take place. This definition thus occupies itself more in the realm of the technology used to write and communicate than the strategies used. There is the suggestion that the strategies may be used differently in a digital space.</w:t>
      </w:r>
    </w:p>
    <w:p w14:paraId="7F55EA8E" w14:textId="44CFE68A" w:rsidR="00310BDA" w:rsidRDefault="00310BDA" w:rsidP="00535A81">
      <w:pPr>
        <w:spacing w:line="480" w:lineRule="auto"/>
        <w:ind w:firstLine="720"/>
        <w:rPr>
          <w:rFonts w:ascii="Times New Roman" w:hAnsi="Times New Roman" w:cs="Times New Roman"/>
        </w:rPr>
      </w:pPr>
      <w:r w:rsidRPr="00543E65">
        <w:rPr>
          <w:rFonts w:ascii="Times New Roman" w:hAnsi="Times New Roman" w:cs="Times New Roman"/>
        </w:rPr>
        <w:lastRenderedPageBreak/>
        <w:t xml:space="preserve">Doug </w:t>
      </w:r>
      <w:proofErr w:type="spellStart"/>
      <w:r w:rsidRPr="00543E65">
        <w:rPr>
          <w:rFonts w:ascii="Times New Roman" w:hAnsi="Times New Roman" w:cs="Times New Roman"/>
        </w:rPr>
        <w:t>Eyman</w:t>
      </w:r>
      <w:proofErr w:type="spellEnd"/>
      <w:r w:rsidRPr="00543E65">
        <w:rPr>
          <w:rFonts w:ascii="Times New Roman" w:hAnsi="Times New Roman" w:cs="Times New Roman"/>
        </w:rPr>
        <w:t xml:space="preserve"> in Chapter 1 of </w:t>
      </w:r>
      <w:r w:rsidRPr="00543E65">
        <w:rPr>
          <w:rFonts w:ascii="Times New Roman" w:hAnsi="Times New Roman" w:cs="Times New Roman"/>
          <w:bCs/>
          <w:i/>
        </w:rPr>
        <w:t>Digital Rhetoric: Theory, Method, Practice</w:t>
      </w:r>
      <w:r w:rsidRPr="00543E65">
        <w:rPr>
          <w:rFonts w:ascii="Times New Roman" w:hAnsi="Times New Roman" w:cs="Times New Roman"/>
        </w:rPr>
        <w:t xml:space="preserve"> (2015) makes a connection between digital rhetoric and visual rhetoric, based on “the sense that a focus outside of the tradition of written and spoken argument broadens the available opportunities to apply rhetorical theory to new objects of study.” </w:t>
      </w:r>
      <w:proofErr w:type="spellStart"/>
      <w:r w:rsidRPr="00543E65">
        <w:rPr>
          <w:rFonts w:ascii="Times New Roman" w:hAnsi="Times New Roman" w:cs="Times New Roman"/>
        </w:rPr>
        <w:t>Eyman</w:t>
      </w:r>
      <w:proofErr w:type="spellEnd"/>
      <w:r w:rsidRPr="00543E65">
        <w:rPr>
          <w:rFonts w:ascii="Times New Roman" w:hAnsi="Times New Roman" w:cs="Times New Roman"/>
        </w:rPr>
        <w:t xml:space="preserve"> continues by linking visual and digital rhetoric by writing that “visual rhetoric also draws on theory from art and graphic design as well as psychology (gestalt theory), bringing rhetoric into these spheres even as they contribute to the overall rhetorical methods,” and that since digital rhetoric includes visuals “it can align itself with these fields, as well as other technical fields—such as computer science, game design, and Internet research—that don’t usually take up rhetorical theory.” This approach continues to incorporate and promote </w:t>
      </w:r>
      <w:proofErr w:type="spellStart"/>
      <w:r w:rsidRPr="00543E65">
        <w:rPr>
          <w:rFonts w:ascii="Times New Roman" w:hAnsi="Times New Roman" w:cs="Times New Roman"/>
        </w:rPr>
        <w:t>interdisciplinarity</w:t>
      </w:r>
      <w:proofErr w:type="spellEnd"/>
      <w:r w:rsidRPr="00543E65">
        <w:rPr>
          <w:rFonts w:ascii="Times New Roman" w:hAnsi="Times New Roman" w:cs="Times New Roman"/>
        </w:rPr>
        <w:t>.</w:t>
      </w:r>
      <w:r w:rsidRPr="00543E65">
        <w:rPr>
          <w:rFonts w:ascii="Times New Roman" w:hAnsi="Times New Roman" w:cs="Times New Roman"/>
        </w:rPr>
        <w:br/>
      </w:r>
      <w:r w:rsidRPr="00543E65">
        <w:rPr>
          <w:rFonts w:ascii="Times New Roman" w:hAnsi="Times New Roman" w:cs="Times New Roman"/>
        </w:rPr>
        <w:tab/>
      </w:r>
      <w:proofErr w:type="spellStart"/>
      <w:r w:rsidRPr="00543E65">
        <w:rPr>
          <w:rFonts w:ascii="Times New Roman" w:hAnsi="Times New Roman" w:cs="Times New Roman"/>
        </w:rPr>
        <w:t>Eyman’s</w:t>
      </w:r>
      <w:proofErr w:type="spellEnd"/>
      <w:r w:rsidRPr="00543E65">
        <w:rPr>
          <w:rFonts w:ascii="Times New Roman" w:hAnsi="Times New Roman" w:cs="Times New Roman"/>
        </w:rPr>
        <w:t xml:space="preserve"> definition of digital rhetoric also accounts for the performance of composing and distributing, using a method of delivery that is not only based on speaking or writing, The implications of digital spaces suggests a reliance on the visuals used and perceived, that also find themselves closely related to methods of delivery. This attention to the visual and delivery is similar to Ian </w:t>
      </w:r>
      <w:proofErr w:type="spellStart"/>
      <w:r w:rsidRPr="00543E65">
        <w:rPr>
          <w:rFonts w:ascii="Times New Roman" w:hAnsi="Times New Roman" w:cs="Times New Roman"/>
        </w:rPr>
        <w:t>Bogost’s</w:t>
      </w:r>
      <w:proofErr w:type="spellEnd"/>
      <w:r w:rsidRPr="00543E65">
        <w:rPr>
          <w:rFonts w:ascii="Times New Roman" w:hAnsi="Times New Roman" w:cs="Times New Roman"/>
          <w:lang w:eastAsia="ja-JP"/>
        </w:rPr>
        <w:t xml:space="preserve"> </w:t>
      </w:r>
      <w:r w:rsidRPr="00543E65">
        <w:rPr>
          <w:rFonts w:ascii="Times New Roman" w:hAnsi="Times New Roman" w:cs="Times New Roman"/>
          <w:i/>
          <w:iCs/>
          <w:lang w:eastAsia="ja-JP"/>
        </w:rPr>
        <w:t>Persuasive games: The expressive power of videogames</w:t>
      </w:r>
      <w:r w:rsidRPr="00543E65">
        <w:rPr>
          <w:rFonts w:ascii="Times New Roman" w:hAnsi="Times New Roman" w:cs="Times New Roman"/>
          <w:lang w:eastAsia="ja-JP"/>
        </w:rPr>
        <w:t xml:space="preserve"> (2007).</w:t>
      </w:r>
      <w:r w:rsidRPr="00543E65">
        <w:rPr>
          <w:rFonts w:ascii="Times New Roman" w:hAnsi="Times New Roman" w:cs="Times New Roman"/>
        </w:rPr>
        <w:t xml:space="preserve"> His work in procedural rhetoric pushes scholars to move beyond the view that the technologies we use are simply tools available to us. He puts procedural rhetoric under the umbrella of digital rhetoric because of the “practice of using processes persuasively,” due to the nature of the digital spaces we compose in, and inhabit, it is impossible to separate any understanding of digital rhetoric from the processes we engage in to accomplish communication.  </w:t>
      </w:r>
      <w:r w:rsidR="00C26B3C">
        <w:rPr>
          <w:rFonts w:ascii="Times New Roman" w:hAnsi="Times New Roman" w:cs="Times New Roman"/>
        </w:rPr>
        <w:t xml:space="preserve"> </w:t>
      </w:r>
    </w:p>
    <w:p w14:paraId="5A9943EE" w14:textId="76CC173E" w:rsidR="00C26B3C" w:rsidRPr="00C26B3C" w:rsidRDefault="00C26B3C" w:rsidP="00535A81">
      <w:pPr>
        <w:spacing w:line="480" w:lineRule="auto"/>
        <w:ind w:firstLine="720"/>
        <w:rPr>
          <w:rFonts w:ascii="Times New Roman" w:hAnsi="Times New Roman" w:cs="Times New Roman"/>
          <w:b/>
        </w:rPr>
      </w:pPr>
      <w:r w:rsidRPr="00C26B3C">
        <w:rPr>
          <w:rFonts w:ascii="Times New Roman" w:hAnsi="Times New Roman" w:cs="Times New Roman"/>
          <w:b/>
        </w:rPr>
        <w:t xml:space="preserve">End of definitions or include </w:t>
      </w:r>
      <w:proofErr w:type="spellStart"/>
      <w:r w:rsidRPr="00C26B3C">
        <w:rPr>
          <w:rFonts w:ascii="Times New Roman" w:hAnsi="Times New Roman" w:cs="Times New Roman"/>
          <w:b/>
        </w:rPr>
        <w:t>Bogost</w:t>
      </w:r>
      <w:proofErr w:type="spellEnd"/>
      <w:r w:rsidRPr="00C26B3C">
        <w:rPr>
          <w:rFonts w:ascii="Times New Roman" w:hAnsi="Times New Roman" w:cs="Times New Roman"/>
          <w:b/>
        </w:rPr>
        <w:t xml:space="preserve"> and what his work attempts to do??</w:t>
      </w:r>
    </w:p>
    <w:p w14:paraId="1E14582D" w14:textId="77777777" w:rsidR="00310BDA" w:rsidRPr="00543E65" w:rsidRDefault="00310BDA" w:rsidP="00535A81">
      <w:pPr>
        <w:spacing w:line="480" w:lineRule="auto"/>
        <w:ind w:firstLine="720"/>
        <w:rPr>
          <w:rFonts w:ascii="Times New Roman" w:hAnsi="Times New Roman" w:cs="Times New Roman"/>
        </w:rPr>
      </w:pPr>
      <w:proofErr w:type="spellStart"/>
      <w:r w:rsidRPr="00543E65">
        <w:rPr>
          <w:rFonts w:ascii="Times New Roman" w:hAnsi="Times New Roman" w:cs="Times New Roman"/>
        </w:rPr>
        <w:t>Bogost</w:t>
      </w:r>
      <w:proofErr w:type="spellEnd"/>
      <w:r w:rsidRPr="00543E65">
        <w:rPr>
          <w:rFonts w:ascii="Times New Roman" w:hAnsi="Times New Roman" w:cs="Times New Roman"/>
        </w:rPr>
        <w:t xml:space="preserve"> differs from </w:t>
      </w:r>
      <w:proofErr w:type="spellStart"/>
      <w:r w:rsidRPr="00543E65">
        <w:rPr>
          <w:rFonts w:ascii="Times New Roman" w:hAnsi="Times New Roman" w:cs="Times New Roman"/>
        </w:rPr>
        <w:t>Eyman</w:t>
      </w:r>
      <w:proofErr w:type="spellEnd"/>
      <w:r w:rsidRPr="00543E65">
        <w:rPr>
          <w:rFonts w:ascii="Times New Roman" w:hAnsi="Times New Roman" w:cs="Times New Roman"/>
        </w:rPr>
        <w:t xml:space="preserve"> in that he focuses on the process users go through to communicate, and not the visual elements that assist delivery. </w:t>
      </w:r>
      <w:proofErr w:type="spellStart"/>
      <w:r w:rsidRPr="00543E65">
        <w:rPr>
          <w:rFonts w:ascii="Times New Roman" w:hAnsi="Times New Roman" w:cs="Times New Roman"/>
        </w:rPr>
        <w:t>Bogost</w:t>
      </w:r>
      <w:proofErr w:type="spellEnd"/>
      <w:r w:rsidRPr="00543E65">
        <w:rPr>
          <w:rFonts w:ascii="Times New Roman" w:hAnsi="Times New Roman" w:cs="Times New Roman"/>
        </w:rPr>
        <w:t xml:space="preserve"> attempts to expose the process that makes the technology assist us in composing, much like the scholarship in digital rhetoric that wishes to expose technology that is otherwise hidden. </w:t>
      </w:r>
      <w:proofErr w:type="spellStart"/>
      <w:r w:rsidRPr="00543E65">
        <w:rPr>
          <w:rFonts w:ascii="Times New Roman" w:hAnsi="Times New Roman" w:cs="Times New Roman"/>
        </w:rPr>
        <w:t>Bogost</w:t>
      </w:r>
      <w:proofErr w:type="spellEnd"/>
      <w:r w:rsidRPr="00543E65">
        <w:rPr>
          <w:rFonts w:ascii="Times New Roman" w:hAnsi="Times New Roman" w:cs="Times New Roman"/>
        </w:rPr>
        <w:t xml:space="preserve"> is not concerned with the visual in the same way </w:t>
      </w:r>
      <w:proofErr w:type="spellStart"/>
      <w:r w:rsidRPr="00543E65">
        <w:rPr>
          <w:rFonts w:ascii="Times New Roman" w:hAnsi="Times New Roman" w:cs="Times New Roman"/>
        </w:rPr>
        <w:t>Eyman</w:t>
      </w:r>
      <w:proofErr w:type="spellEnd"/>
      <w:r w:rsidRPr="00543E65">
        <w:rPr>
          <w:rFonts w:ascii="Times New Roman" w:hAnsi="Times New Roman" w:cs="Times New Roman"/>
        </w:rPr>
        <w:t xml:space="preserve"> is, because the process to him is more important than the visual. The procedures give the writer the power to write in the digital </w:t>
      </w:r>
      <w:proofErr w:type="gramStart"/>
      <w:r w:rsidRPr="00543E65">
        <w:rPr>
          <w:rFonts w:ascii="Times New Roman" w:hAnsi="Times New Roman" w:cs="Times New Roman"/>
        </w:rPr>
        <w:t>spaces,</w:t>
      </w:r>
      <w:proofErr w:type="gramEnd"/>
      <w:r w:rsidRPr="00543E65">
        <w:rPr>
          <w:rFonts w:ascii="Times New Roman" w:hAnsi="Times New Roman" w:cs="Times New Roman"/>
        </w:rPr>
        <w:t xml:space="preserve"> therefore his ethos comes from the practices, and not the delivery. Delivery under </w:t>
      </w:r>
      <w:proofErr w:type="spellStart"/>
      <w:r w:rsidRPr="00543E65">
        <w:rPr>
          <w:rFonts w:ascii="Times New Roman" w:hAnsi="Times New Roman" w:cs="Times New Roman"/>
        </w:rPr>
        <w:t>Bogost’s</w:t>
      </w:r>
      <w:proofErr w:type="spellEnd"/>
      <w:r w:rsidRPr="00543E65">
        <w:rPr>
          <w:rFonts w:ascii="Times New Roman" w:hAnsi="Times New Roman" w:cs="Times New Roman"/>
        </w:rPr>
        <w:t xml:space="preserve"> definition of digital rhetoric is attributed to the performance of working within, or through the procedure. </w:t>
      </w:r>
    </w:p>
    <w:p w14:paraId="0D87834D" w14:textId="77777777" w:rsidR="00310BDA" w:rsidRPr="00C26B3C" w:rsidRDefault="00310BDA" w:rsidP="00535A81">
      <w:pPr>
        <w:spacing w:line="480" w:lineRule="auto"/>
        <w:rPr>
          <w:rFonts w:ascii="Times New Roman" w:hAnsi="Times New Roman" w:cs="Times New Roman"/>
          <w:highlight w:val="green"/>
        </w:rPr>
      </w:pPr>
      <w:r w:rsidRPr="00C26B3C">
        <w:rPr>
          <w:rFonts w:ascii="Times New Roman" w:hAnsi="Times New Roman" w:cs="Times New Roman"/>
          <w:highlight w:val="green"/>
        </w:rPr>
        <w:t xml:space="preserve">Porter (2008) argues against this procedural view of digital rhetoric. He argues: </w:t>
      </w:r>
    </w:p>
    <w:p w14:paraId="22C4E95B" w14:textId="5CBEAA98" w:rsidR="00310BDA" w:rsidRPr="00543E65" w:rsidRDefault="00310BDA" w:rsidP="00535A81">
      <w:pPr>
        <w:spacing w:line="480" w:lineRule="auto"/>
        <w:ind w:left="720"/>
        <w:rPr>
          <w:rFonts w:ascii="Times New Roman" w:hAnsi="Times New Roman" w:cs="Times New Roman"/>
        </w:rPr>
      </w:pPr>
      <w:r w:rsidRPr="00C26B3C">
        <w:rPr>
          <w:rFonts w:ascii="Times New Roman" w:hAnsi="Times New Roman" w:cs="Times New Roman"/>
          <w:highlight w:val="green"/>
        </w:rPr>
        <w:t>“</w:t>
      </w:r>
      <w:proofErr w:type="spellStart"/>
      <w:proofErr w:type="gramStart"/>
      <w:r w:rsidRPr="00C26B3C">
        <w:rPr>
          <w:rFonts w:ascii="Times New Roman" w:hAnsi="Times New Roman" w:cs="Times New Roman"/>
          <w:highlight w:val="green"/>
        </w:rPr>
        <w:t>techne</w:t>
      </w:r>
      <w:proofErr w:type="spellEnd"/>
      <w:proofErr w:type="gramEnd"/>
      <w:r w:rsidRPr="00C26B3C">
        <w:rPr>
          <w:rFonts w:ascii="Times New Roman" w:hAnsi="Times New Roman" w:cs="Times New Roman"/>
          <w:highlight w:val="green"/>
        </w:rPr>
        <w:t xml:space="preserve"> of digital rhetoric required here must be of two types: (1) Productive how-to knowledge — i.e., the art of knowing various technological options, and knowing how to use them to achieve various rhetorical effects. </w:t>
      </w:r>
      <w:proofErr w:type="gramStart"/>
      <w:r w:rsidRPr="00C26B3C">
        <w:rPr>
          <w:rFonts w:ascii="Times New Roman" w:hAnsi="Times New Roman" w:cs="Times New Roman"/>
          <w:highlight w:val="green"/>
        </w:rPr>
        <w:t xml:space="preserve">(2) Practical judgment, ethical </w:t>
      </w:r>
      <w:proofErr w:type="spellStart"/>
      <w:r w:rsidRPr="00C26B3C">
        <w:rPr>
          <w:rFonts w:ascii="Times New Roman" w:hAnsi="Times New Roman" w:cs="Times New Roman"/>
          <w:highlight w:val="green"/>
        </w:rPr>
        <w:t>phronesis</w:t>
      </w:r>
      <w:proofErr w:type="spellEnd"/>
      <w:r w:rsidRPr="00C26B3C">
        <w:rPr>
          <w:rFonts w:ascii="Times New Roman" w:hAnsi="Times New Roman" w:cs="Times New Roman"/>
          <w:highlight w:val="green"/>
        </w:rPr>
        <w:t>,”</w:t>
      </w:r>
      <w:r w:rsidRPr="00543E65">
        <w:rPr>
          <w:rFonts w:ascii="Times New Roman" w:hAnsi="Times New Roman" w:cs="Times New Roman"/>
        </w:rPr>
        <w:t xml:space="preserve"> </w:t>
      </w:r>
      <w:r w:rsidR="00C26B3C" w:rsidRPr="00C26B3C">
        <w:rPr>
          <w:rFonts w:ascii="Times New Roman" w:hAnsi="Times New Roman" w:cs="Times New Roman"/>
          <w:b/>
        </w:rPr>
        <w:t>To keep or not to keep??</w:t>
      </w:r>
      <w:proofErr w:type="gramEnd"/>
      <w:r w:rsidR="00C26B3C">
        <w:rPr>
          <w:rFonts w:ascii="Times New Roman" w:hAnsi="Times New Roman" w:cs="Times New Roman"/>
          <w:b/>
        </w:rPr>
        <w:t xml:space="preserve"> Find connection??</w:t>
      </w:r>
    </w:p>
    <w:p w14:paraId="62C2A9A9" w14:textId="4437FF44" w:rsidR="00310BDA" w:rsidRPr="00543E65" w:rsidRDefault="00310BDA" w:rsidP="00535A81">
      <w:pPr>
        <w:spacing w:line="480" w:lineRule="auto"/>
        <w:rPr>
          <w:rFonts w:ascii="Times New Roman" w:hAnsi="Times New Roman" w:cs="Times New Roman"/>
        </w:rPr>
      </w:pPr>
      <w:r w:rsidRPr="00543E65">
        <w:rPr>
          <w:rFonts w:ascii="Times New Roman" w:hAnsi="Times New Roman" w:cs="Times New Roman"/>
        </w:rPr>
        <w:t>Porter believes that this “productive knowledge about making and practical knowledge about doing (a</w:t>
      </w:r>
      <w:bookmarkStart w:id="0" w:name="_GoBack"/>
      <w:bookmarkEnd w:id="0"/>
      <w:r w:rsidRPr="00543E65">
        <w:rPr>
          <w:rFonts w:ascii="Times New Roman" w:hAnsi="Times New Roman" w:cs="Times New Roman"/>
        </w:rPr>
        <w:t xml:space="preserve">nd the ethics of doing) should work in conjunction to guide writing/communication practice” (p. 25). Here there is a combination of the digital rhetoric research that focuses on the implications of the technology and its impact on humans’ writing. This differs from </w:t>
      </w:r>
      <w:proofErr w:type="spellStart"/>
      <w:r w:rsidRPr="00543E65">
        <w:rPr>
          <w:rFonts w:ascii="Times New Roman" w:hAnsi="Times New Roman" w:cs="Times New Roman"/>
        </w:rPr>
        <w:t>Bogost’s</w:t>
      </w:r>
      <w:proofErr w:type="spellEnd"/>
      <w:r w:rsidRPr="00543E65">
        <w:rPr>
          <w:rFonts w:ascii="Times New Roman" w:hAnsi="Times New Roman" w:cs="Times New Roman"/>
        </w:rPr>
        <w:t xml:space="preserve"> work because it leans more on the human as the actor, than the exchange between the human and the machine.</w:t>
      </w:r>
    </w:p>
    <w:p w14:paraId="19A364C9" w14:textId="2C5E2526" w:rsidR="00C26B3C" w:rsidRDefault="00C26B3C" w:rsidP="00535A81">
      <w:pPr>
        <w:spacing w:line="480" w:lineRule="auto"/>
        <w:ind w:firstLine="720"/>
        <w:rPr>
          <w:rFonts w:ascii="Times New Roman" w:hAnsi="Times New Roman" w:cs="Times New Roman"/>
          <w:b/>
        </w:rPr>
      </w:pPr>
      <w:r w:rsidRPr="00C26B3C">
        <w:rPr>
          <w:rFonts w:ascii="Times New Roman" w:hAnsi="Times New Roman" w:cs="Times New Roman"/>
          <w:b/>
        </w:rPr>
        <w:t>LITERACY</w:t>
      </w:r>
    </w:p>
    <w:p w14:paraId="3ABFB0BD" w14:textId="56B4FC67" w:rsidR="00C26B3C" w:rsidRDefault="00C26B3C" w:rsidP="00535A81">
      <w:pPr>
        <w:spacing w:line="480" w:lineRule="auto"/>
        <w:ind w:firstLine="720"/>
        <w:rPr>
          <w:rFonts w:ascii="Times New Roman" w:hAnsi="Times New Roman" w:cs="Times New Roman"/>
          <w:b/>
        </w:rPr>
      </w:pPr>
      <w:r>
        <w:rPr>
          <w:rFonts w:ascii="Times New Roman" w:hAnsi="Times New Roman" w:cs="Times New Roman"/>
          <w:b/>
        </w:rPr>
        <w:t>Baron Pencils to Pixels?</w:t>
      </w:r>
      <w:r w:rsidR="00A02905">
        <w:rPr>
          <w:rFonts w:ascii="Times New Roman" w:hAnsi="Times New Roman" w:cs="Times New Roman"/>
          <w:b/>
        </w:rPr>
        <w:t xml:space="preserve"> (1</w:t>
      </w:r>
      <w:r w:rsidR="00A02905" w:rsidRPr="00A02905">
        <w:rPr>
          <w:rFonts w:ascii="Times New Roman" w:hAnsi="Times New Roman" w:cs="Times New Roman"/>
          <w:b/>
          <w:vertAlign w:val="superscript"/>
        </w:rPr>
        <w:t>st</w:t>
      </w:r>
      <w:r w:rsidR="00A02905">
        <w:rPr>
          <w:rFonts w:ascii="Times New Roman" w:hAnsi="Times New Roman" w:cs="Times New Roman"/>
          <w:b/>
        </w:rPr>
        <w:t xml:space="preserve"> or 3</w:t>
      </w:r>
      <w:r w:rsidR="00A02905" w:rsidRPr="00A02905">
        <w:rPr>
          <w:rFonts w:ascii="Times New Roman" w:hAnsi="Times New Roman" w:cs="Times New Roman"/>
          <w:b/>
          <w:vertAlign w:val="superscript"/>
        </w:rPr>
        <w:t>rd</w:t>
      </w:r>
      <w:r w:rsidR="00A02905">
        <w:rPr>
          <w:rFonts w:ascii="Times New Roman" w:hAnsi="Times New Roman" w:cs="Times New Roman"/>
          <w:b/>
        </w:rPr>
        <w:t>? Chronological or idea?)</w:t>
      </w:r>
    </w:p>
    <w:p w14:paraId="32C3EA23" w14:textId="3566906F" w:rsidR="00C26B3C" w:rsidRDefault="00C26B3C" w:rsidP="00535A81">
      <w:pPr>
        <w:spacing w:line="480" w:lineRule="auto"/>
        <w:ind w:firstLine="720"/>
        <w:rPr>
          <w:rFonts w:ascii="Times New Roman" w:hAnsi="Times New Roman" w:cs="Times New Roman"/>
          <w:b/>
        </w:rPr>
      </w:pPr>
      <w:proofErr w:type="spellStart"/>
      <w:r>
        <w:rPr>
          <w:rFonts w:ascii="Times New Roman" w:hAnsi="Times New Roman" w:cs="Times New Roman"/>
          <w:b/>
        </w:rPr>
        <w:t>Wysco</w:t>
      </w:r>
      <w:proofErr w:type="spellEnd"/>
      <w:r>
        <w:rPr>
          <w:rFonts w:ascii="Times New Roman" w:hAnsi="Times New Roman" w:cs="Times New Roman"/>
          <w:b/>
        </w:rPr>
        <w:t xml:space="preserve"> &amp; Friend</w:t>
      </w:r>
    </w:p>
    <w:p w14:paraId="50975FD1" w14:textId="5A43A8FE" w:rsidR="00C26B3C" w:rsidRDefault="00C26B3C" w:rsidP="00535A81">
      <w:pPr>
        <w:spacing w:line="480" w:lineRule="auto"/>
        <w:ind w:firstLine="720"/>
        <w:rPr>
          <w:rFonts w:ascii="Times New Roman" w:hAnsi="Times New Roman" w:cs="Times New Roman"/>
          <w:b/>
        </w:rPr>
      </w:pPr>
      <w:proofErr w:type="spellStart"/>
      <w:r>
        <w:rPr>
          <w:rFonts w:ascii="Times New Roman" w:hAnsi="Times New Roman" w:cs="Times New Roman"/>
          <w:b/>
        </w:rPr>
        <w:t>Selber</w:t>
      </w:r>
      <w:proofErr w:type="spellEnd"/>
      <w:r>
        <w:rPr>
          <w:rFonts w:ascii="Times New Roman" w:hAnsi="Times New Roman" w:cs="Times New Roman"/>
          <w:b/>
        </w:rPr>
        <w:t xml:space="preserve"> </w:t>
      </w:r>
      <w:proofErr w:type="spellStart"/>
      <w:r>
        <w:rPr>
          <w:rFonts w:ascii="Times New Roman" w:hAnsi="Times New Roman" w:cs="Times New Roman"/>
          <w:b/>
        </w:rPr>
        <w:t>Multilteracies</w:t>
      </w:r>
      <w:proofErr w:type="spellEnd"/>
      <w:r>
        <w:rPr>
          <w:rFonts w:ascii="Times New Roman" w:hAnsi="Times New Roman" w:cs="Times New Roman"/>
          <w:b/>
        </w:rPr>
        <w:t>!</w:t>
      </w:r>
    </w:p>
    <w:p w14:paraId="0744BC32" w14:textId="77777777" w:rsidR="00A02905" w:rsidRPr="00543E65" w:rsidRDefault="00A02905" w:rsidP="00A02905">
      <w:pPr>
        <w:spacing w:line="480" w:lineRule="auto"/>
        <w:ind w:firstLine="720"/>
        <w:rPr>
          <w:rFonts w:ascii="Times New Roman" w:hAnsi="Times New Roman" w:cs="Times New Roman"/>
        </w:rPr>
      </w:pPr>
      <w:r w:rsidRPr="00543E65">
        <w:rPr>
          <w:rFonts w:ascii="Times New Roman" w:hAnsi="Times New Roman" w:cs="Times New Roman"/>
        </w:rPr>
        <w:t xml:space="preserve">Baron (1982), in “Pencils to Pixels” establishes the link between technology and the classroom when he states that the computer “promises, or threatens to change literacy practices, for better or worse, depending on your point of view” (p.7).  Developments in technology account for new literacies to be learned, but agreeing upon how to do that is tricky at best. Yancey (2004) in “Made not only in words: Composition in a new key” declared the field to be in a most important moment, and urges the field to move away from only composing and teaching composition that consists of alphabetic text. Yancey </w:t>
      </w:r>
      <w:proofErr w:type="gramStart"/>
      <w:r w:rsidRPr="00543E65">
        <w:rPr>
          <w:rFonts w:ascii="Times New Roman" w:hAnsi="Times New Roman" w:cs="Times New Roman"/>
        </w:rPr>
        <w:t>states</w:t>
      </w:r>
      <w:proofErr w:type="gramEnd"/>
      <w:r w:rsidRPr="00543E65">
        <w:rPr>
          <w:rFonts w:ascii="Times New Roman" w:hAnsi="Times New Roman" w:cs="Times New Roman"/>
        </w:rPr>
        <w:t xml:space="preserve"> “the screen is the language of the vernacular” (305), and despite this not being a new assessment in 2004, she proclaimed that  “we are digital already.” Around the same time Stuart </w:t>
      </w:r>
      <w:proofErr w:type="spellStart"/>
      <w:r w:rsidRPr="00543E65">
        <w:rPr>
          <w:rFonts w:ascii="Times New Roman" w:hAnsi="Times New Roman" w:cs="Times New Roman"/>
        </w:rPr>
        <w:t>Selber</w:t>
      </w:r>
      <w:proofErr w:type="spellEnd"/>
      <w:r w:rsidRPr="00543E65">
        <w:rPr>
          <w:rFonts w:ascii="Times New Roman" w:hAnsi="Times New Roman" w:cs="Times New Roman"/>
        </w:rPr>
        <w:t xml:space="preserve"> also addresses where curriculum should go in </w:t>
      </w:r>
      <w:proofErr w:type="spellStart"/>
      <w:r w:rsidRPr="00543E65">
        <w:rPr>
          <w:rFonts w:ascii="Times New Roman" w:hAnsi="Times New Roman" w:cs="Times New Roman"/>
          <w:i/>
        </w:rPr>
        <w:t>Multiliteracies</w:t>
      </w:r>
      <w:proofErr w:type="spellEnd"/>
      <w:r w:rsidRPr="00543E65">
        <w:rPr>
          <w:rFonts w:ascii="Times New Roman" w:hAnsi="Times New Roman" w:cs="Times New Roman"/>
          <w:i/>
        </w:rPr>
        <w:t xml:space="preserve"> for a Digital Age</w:t>
      </w:r>
      <w:r w:rsidRPr="00543E65">
        <w:rPr>
          <w:rFonts w:ascii="Times New Roman" w:hAnsi="Times New Roman" w:cs="Times New Roman"/>
        </w:rPr>
        <w:t xml:space="preserve">. </w:t>
      </w:r>
      <w:proofErr w:type="spellStart"/>
      <w:r w:rsidRPr="00543E65">
        <w:rPr>
          <w:rFonts w:ascii="Times New Roman" w:hAnsi="Times New Roman" w:cs="Times New Roman"/>
        </w:rPr>
        <w:t>Selber</w:t>
      </w:r>
      <w:proofErr w:type="spellEnd"/>
      <w:r w:rsidRPr="00543E65">
        <w:rPr>
          <w:rFonts w:ascii="Times New Roman" w:hAnsi="Times New Roman" w:cs="Times New Roman"/>
        </w:rPr>
        <w:t xml:space="preserve"> </w:t>
      </w:r>
      <w:proofErr w:type="gramStart"/>
      <w:r w:rsidRPr="00543E65">
        <w:rPr>
          <w:rFonts w:ascii="Times New Roman" w:hAnsi="Times New Roman" w:cs="Times New Roman"/>
        </w:rPr>
        <w:t>argues</w:t>
      </w:r>
      <w:proofErr w:type="gramEnd"/>
      <w:r w:rsidRPr="00543E65">
        <w:rPr>
          <w:rFonts w:ascii="Times New Roman" w:hAnsi="Times New Roman" w:cs="Times New Roman"/>
        </w:rPr>
        <w:t xml:space="preserve"> “if students are to become agents of positive change, they will need an education that is comprehensive and truly relevant to a digital age” (234). This comprehensive education differs from the traditional approaches associated with alphabetic text. It is no coincidence that following these strong statements in support of moving away from alphabetic text, and relying upon interfaces and digital spaces for communication that some in digital rhetoric focus more on the technology than the persuasive practices.</w:t>
      </w:r>
    </w:p>
    <w:p w14:paraId="257EA9CC" w14:textId="77777777" w:rsidR="00A02905" w:rsidRDefault="00A02905" w:rsidP="00535A81">
      <w:pPr>
        <w:spacing w:line="480" w:lineRule="auto"/>
        <w:ind w:firstLine="720"/>
        <w:rPr>
          <w:rFonts w:ascii="Times New Roman" w:hAnsi="Times New Roman" w:cs="Times New Roman"/>
          <w:b/>
        </w:rPr>
      </w:pPr>
    </w:p>
    <w:p w14:paraId="20FA178F" w14:textId="525AF9EF" w:rsidR="00C26B3C" w:rsidRDefault="00C26B3C" w:rsidP="00535A81">
      <w:pPr>
        <w:spacing w:line="480" w:lineRule="auto"/>
        <w:ind w:firstLine="720"/>
        <w:rPr>
          <w:rFonts w:ascii="Times New Roman" w:hAnsi="Times New Roman" w:cs="Times New Roman"/>
          <w:b/>
        </w:rPr>
      </w:pPr>
      <w:r w:rsidRPr="00C26B3C">
        <w:rPr>
          <w:rFonts w:ascii="Times New Roman" w:hAnsi="Times New Roman" w:cs="Times New Roman"/>
          <w:b/>
          <w:highlight w:val="green"/>
        </w:rPr>
        <w:t>Connection to DR and More recent theories/approaches</w:t>
      </w:r>
    </w:p>
    <w:p w14:paraId="07332822" w14:textId="77777777" w:rsidR="00C26B3C" w:rsidRPr="00C26B3C" w:rsidRDefault="00C26B3C" w:rsidP="00535A81">
      <w:pPr>
        <w:spacing w:line="480" w:lineRule="auto"/>
        <w:ind w:firstLine="720"/>
        <w:rPr>
          <w:rFonts w:ascii="Times New Roman" w:hAnsi="Times New Roman" w:cs="Times New Roman"/>
          <w:b/>
        </w:rPr>
      </w:pPr>
    </w:p>
    <w:p w14:paraId="60F3A26B" w14:textId="77777777" w:rsidR="00310BDA" w:rsidRPr="00543E65" w:rsidRDefault="00310BDA" w:rsidP="00535A81">
      <w:pPr>
        <w:spacing w:line="480" w:lineRule="auto"/>
        <w:ind w:firstLine="720"/>
        <w:rPr>
          <w:rFonts w:ascii="Times New Roman" w:hAnsi="Times New Roman" w:cs="Times New Roman"/>
        </w:rPr>
      </w:pPr>
      <w:r w:rsidRPr="00A02905">
        <w:rPr>
          <w:rFonts w:ascii="Times New Roman" w:hAnsi="Times New Roman" w:cs="Times New Roman"/>
          <w:highlight w:val="green"/>
        </w:rPr>
        <w:t xml:space="preserve">Scholarship in digital rhetoric influenced and/or informed by </w:t>
      </w:r>
      <w:proofErr w:type="spellStart"/>
      <w:r w:rsidRPr="00A02905">
        <w:rPr>
          <w:rFonts w:ascii="Times New Roman" w:hAnsi="Times New Roman" w:cs="Times New Roman"/>
          <w:highlight w:val="green"/>
        </w:rPr>
        <w:t>Bogost</w:t>
      </w:r>
      <w:proofErr w:type="spellEnd"/>
      <w:r w:rsidRPr="00A02905">
        <w:rPr>
          <w:rFonts w:ascii="Times New Roman" w:hAnsi="Times New Roman" w:cs="Times New Roman"/>
          <w:highlight w:val="green"/>
        </w:rPr>
        <w:t xml:space="preserve"> tends to begin to break way from Aristotle’s rhetoric, and the result of that pushes digital rhetoric </w:t>
      </w:r>
      <w:proofErr w:type="gramStart"/>
      <w:r w:rsidRPr="00A02905">
        <w:rPr>
          <w:rFonts w:ascii="Times New Roman" w:hAnsi="Times New Roman" w:cs="Times New Roman"/>
          <w:highlight w:val="green"/>
        </w:rPr>
        <w:t>in</w:t>
      </w:r>
      <w:proofErr w:type="gramEnd"/>
      <w:r w:rsidRPr="00A02905">
        <w:rPr>
          <w:rFonts w:ascii="Times New Roman" w:hAnsi="Times New Roman" w:cs="Times New Roman"/>
          <w:highlight w:val="green"/>
        </w:rPr>
        <w:t xml:space="preserve"> other directions. As digital rhetoric focuses on the technology, and not the rhetorical strategies it ventures into other theories and fields. </w:t>
      </w:r>
      <w:proofErr w:type="spellStart"/>
      <w:r w:rsidRPr="00A02905">
        <w:rPr>
          <w:rFonts w:ascii="Times New Roman" w:hAnsi="Times New Roman" w:cs="Times New Roman"/>
          <w:highlight w:val="green"/>
        </w:rPr>
        <w:t>Cressman</w:t>
      </w:r>
      <w:proofErr w:type="spellEnd"/>
      <w:r w:rsidRPr="00A02905">
        <w:rPr>
          <w:rFonts w:ascii="Times New Roman" w:hAnsi="Times New Roman" w:cs="Times New Roman"/>
          <w:highlight w:val="green"/>
        </w:rPr>
        <w:t xml:space="preserve"> (2009) in “A Brief Overview of Actor-Network Theory: </w:t>
      </w:r>
      <w:proofErr w:type="spellStart"/>
      <w:r w:rsidRPr="00A02905">
        <w:rPr>
          <w:rFonts w:ascii="Times New Roman" w:hAnsi="Times New Roman" w:cs="Times New Roman"/>
          <w:highlight w:val="green"/>
        </w:rPr>
        <w:t>Punctualization</w:t>
      </w:r>
      <w:proofErr w:type="spellEnd"/>
      <w:r w:rsidRPr="00A02905">
        <w:rPr>
          <w:rFonts w:ascii="Times New Roman" w:hAnsi="Times New Roman" w:cs="Times New Roman"/>
          <w:highlight w:val="green"/>
        </w:rPr>
        <w:t xml:space="preserve">, </w:t>
      </w:r>
      <w:proofErr w:type="spellStart"/>
      <w:r w:rsidRPr="00A02905">
        <w:rPr>
          <w:rFonts w:ascii="Times New Roman" w:hAnsi="Times New Roman" w:cs="Times New Roman"/>
          <w:highlight w:val="green"/>
        </w:rPr>
        <w:t>Heterogenous</w:t>
      </w:r>
      <w:proofErr w:type="spellEnd"/>
      <w:r w:rsidRPr="00A02905">
        <w:rPr>
          <w:rFonts w:ascii="Times New Roman" w:hAnsi="Times New Roman" w:cs="Times New Roman"/>
          <w:highlight w:val="green"/>
        </w:rPr>
        <w:t xml:space="preserve"> Engineering &amp; Translation” gives an overview of actor-network theory (ANT). In doing so he writes about the attempt to “open the black box of science and technology by tracing the complex relationships that exist between governments, technologies, knowledge, texts, money, and people” (p. 3). This pushes the field of digital rhetoric to view the technology, often the computer or the word processor when applied to composition classes, as an actor in the network. This again moves digital rhetoric closer to engaging with, and thinking through the role and purpose of the technology, before addressing how it impacts writing.</w:t>
      </w:r>
    </w:p>
    <w:p w14:paraId="7DAABD88" w14:textId="77777777" w:rsidR="00310BDA" w:rsidRPr="00543E65" w:rsidRDefault="00310BDA" w:rsidP="00535A81">
      <w:pPr>
        <w:spacing w:line="480" w:lineRule="auto"/>
        <w:ind w:firstLine="720"/>
        <w:rPr>
          <w:rFonts w:ascii="Times New Roman" w:hAnsi="Times New Roman" w:cs="Times New Roman"/>
        </w:rPr>
      </w:pPr>
      <w:r w:rsidRPr="00543E65">
        <w:rPr>
          <w:rFonts w:ascii="Times New Roman" w:hAnsi="Times New Roman" w:cs="Times New Roman"/>
        </w:rPr>
        <w:t xml:space="preserve">Lori Emerson (2014) in </w:t>
      </w:r>
      <w:r w:rsidRPr="00543E65">
        <w:rPr>
          <w:rFonts w:ascii="Times New Roman" w:hAnsi="Times New Roman" w:cs="Times New Roman"/>
          <w:i/>
        </w:rPr>
        <w:t xml:space="preserve">Reading Writing Interfaces: From the Digital to the </w:t>
      </w:r>
      <w:proofErr w:type="spellStart"/>
      <w:r w:rsidRPr="00543E65">
        <w:rPr>
          <w:rFonts w:ascii="Times New Roman" w:hAnsi="Times New Roman" w:cs="Times New Roman"/>
          <w:i/>
        </w:rPr>
        <w:t>Bookbound</w:t>
      </w:r>
      <w:proofErr w:type="spellEnd"/>
      <w:r w:rsidRPr="00543E65">
        <w:rPr>
          <w:rFonts w:ascii="Times New Roman" w:hAnsi="Times New Roman" w:cs="Times New Roman"/>
        </w:rPr>
        <w:t xml:space="preserve"> calls attention to the </w:t>
      </w:r>
      <w:proofErr w:type="spellStart"/>
      <w:r w:rsidRPr="00543E65">
        <w:rPr>
          <w:rFonts w:ascii="Times New Roman" w:hAnsi="Times New Roman" w:cs="Times New Roman"/>
        </w:rPr>
        <w:t>blackbox</w:t>
      </w:r>
      <w:proofErr w:type="spellEnd"/>
      <w:r w:rsidRPr="00543E65">
        <w:rPr>
          <w:rFonts w:ascii="Times New Roman" w:hAnsi="Times New Roman" w:cs="Times New Roman"/>
        </w:rPr>
        <w:t xml:space="preserve"> technology in </w:t>
      </w:r>
      <w:proofErr w:type="spellStart"/>
      <w:r w:rsidRPr="00543E65">
        <w:rPr>
          <w:rFonts w:ascii="Times New Roman" w:hAnsi="Times New Roman" w:cs="Times New Roman"/>
        </w:rPr>
        <w:t>iPads</w:t>
      </w:r>
      <w:proofErr w:type="spellEnd"/>
      <w:r w:rsidRPr="00543E65">
        <w:rPr>
          <w:rFonts w:ascii="Times New Roman" w:hAnsi="Times New Roman" w:cs="Times New Roman"/>
        </w:rPr>
        <w:t xml:space="preserve"> and iPhones, which influence how students read and write. The interfaces of these devices are viewed as “magical,” and presented as “something that allows us to perform magic tricks” (11). Understanding that an invisible technology exists behind an interface approaches delivery from a different perspective. Delivery shifts from a one-way transaction. The technology behind whatever device used to write, or communicate also has a method of delivery, and the ethos associated with it stems from its ability to work as expected. </w:t>
      </w:r>
    </w:p>
    <w:p w14:paraId="1A36025E" w14:textId="018DD964" w:rsidR="00310BDA" w:rsidRPr="00543E65" w:rsidRDefault="00310BDA" w:rsidP="00535A81">
      <w:pPr>
        <w:spacing w:line="480" w:lineRule="auto"/>
        <w:ind w:firstLine="720"/>
        <w:rPr>
          <w:rFonts w:ascii="Times New Roman" w:hAnsi="Times New Roman" w:cs="Times New Roman"/>
        </w:rPr>
      </w:pPr>
      <w:r w:rsidRPr="00543E65">
        <w:rPr>
          <w:rFonts w:ascii="Times New Roman" w:hAnsi="Times New Roman" w:cs="Times New Roman"/>
        </w:rPr>
        <w:t>Digital rhetoric scholarship approaches this other perspective in the form of research</w:t>
      </w:r>
      <w:r w:rsidR="00951432">
        <w:rPr>
          <w:rFonts w:ascii="Times New Roman" w:hAnsi="Times New Roman" w:cs="Times New Roman"/>
        </w:rPr>
        <w:t>ing</w:t>
      </w:r>
      <w:r w:rsidRPr="00543E65">
        <w:rPr>
          <w:rFonts w:ascii="Times New Roman" w:hAnsi="Times New Roman" w:cs="Times New Roman"/>
        </w:rPr>
        <w:t xml:space="preserve"> the glitch. In “The Rhetorical Question Concerning Glitch” Casey Boyle describes glitch scholarship as “models for expanding our current, critical approaches to rhetoric, especially as those practices concern mediation” (p. 12). Glitches expose what design and interface work to keep hidden, and this makes their technological delivery transparent. Boyle pushes for the result of the glitch to become an assignment in composition classes, because it  “seeks not to error-check but to produce error” (p. 22), which allows for students to engage with the technology that is now exposed, and disrupt conventional methods of delivery and ethos. </w:t>
      </w:r>
    </w:p>
    <w:p w14:paraId="2505A2A5" w14:textId="77777777" w:rsidR="00310BDA" w:rsidRPr="00543E65" w:rsidRDefault="00310BDA" w:rsidP="00535A81">
      <w:pPr>
        <w:spacing w:line="480" w:lineRule="auto"/>
        <w:ind w:firstLine="720"/>
        <w:rPr>
          <w:rFonts w:ascii="Times New Roman" w:hAnsi="Times New Roman" w:cs="Times New Roman"/>
        </w:rPr>
      </w:pPr>
      <w:r w:rsidRPr="003C4878">
        <w:rPr>
          <w:rFonts w:ascii="Times New Roman" w:hAnsi="Times New Roman" w:cs="Times New Roman"/>
          <w:highlight w:val="green"/>
        </w:rPr>
        <w:t>At times the field of digital rhetoric concerns itself with a large amount of theory. The potential problem stemming from this occurrence results in how to merge this theory with the practice of applying it in the form of composition classroom curriculum. With several different definitions of digital rhetoric informing the theories implementing them can cause complications.  Does curriculum reflect scholarship in revealing the black box technology and the active role of the technology as discussed in work with ANT? Or, should it reflect the practical nature of helping students develop skills in communicating in digital spaces?</w:t>
      </w:r>
    </w:p>
    <w:p w14:paraId="31FDA2D1" w14:textId="77777777" w:rsidR="00310BDA" w:rsidRDefault="00310BDA" w:rsidP="00535A81">
      <w:pPr>
        <w:spacing w:line="480" w:lineRule="auto"/>
        <w:rPr>
          <w:rFonts w:ascii="Times New Roman" w:hAnsi="Times New Roman" w:cs="RobotoSlab-Light"/>
          <w:b/>
          <w:color w:val="393939"/>
        </w:rPr>
      </w:pPr>
      <w:r>
        <w:rPr>
          <w:rFonts w:ascii="Times New Roman" w:hAnsi="Times New Roman" w:cs="RobotoSlab-Light"/>
          <w:b/>
          <w:color w:val="393939"/>
        </w:rPr>
        <w:t>Pedagogy</w:t>
      </w:r>
    </w:p>
    <w:p w14:paraId="5D62BAD3" w14:textId="42C9CA22" w:rsidR="00310BDA" w:rsidRPr="00310BDA" w:rsidRDefault="00310BDA" w:rsidP="00535A81">
      <w:pPr>
        <w:spacing w:line="480" w:lineRule="auto"/>
        <w:rPr>
          <w:b/>
        </w:rPr>
      </w:pPr>
    </w:p>
    <w:sectPr w:rsidR="00310BDA" w:rsidRPr="00310BDA"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RobotoSlab-Light">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BDA"/>
    <w:rsid w:val="00310BDA"/>
    <w:rsid w:val="003C4878"/>
    <w:rsid w:val="00480559"/>
    <w:rsid w:val="00535A81"/>
    <w:rsid w:val="00951432"/>
    <w:rsid w:val="00A02905"/>
    <w:rsid w:val="00B70297"/>
    <w:rsid w:val="00BA39C2"/>
    <w:rsid w:val="00C26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C20B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B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B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1440</Words>
  <Characters>8212</Characters>
  <Application>Microsoft Macintosh Word</Application>
  <DocSecurity>0</DocSecurity>
  <Lines>68</Lines>
  <Paragraphs>19</Paragraphs>
  <ScaleCrop>false</ScaleCrop>
  <Company/>
  <LinksUpToDate>false</LinksUpToDate>
  <CharactersWithSpaces>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cp:lastPrinted>2016-03-29T07:12:00Z</cp:lastPrinted>
  <dcterms:created xsi:type="dcterms:W3CDTF">2016-03-29T14:44:00Z</dcterms:created>
  <dcterms:modified xsi:type="dcterms:W3CDTF">2016-03-29T14:44:00Z</dcterms:modified>
</cp:coreProperties>
</file>