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FD5A6" w14:textId="77777777" w:rsidR="009C2733" w:rsidRPr="002E3400" w:rsidRDefault="009C2733" w:rsidP="009C2733">
      <w:pPr>
        <w:jc w:val="center"/>
        <w:rPr>
          <w:rStyle w:val="Strong"/>
          <w:rFonts w:asciiTheme="minorHAnsi" w:eastAsiaTheme="minorHAnsi" w:hAnsiTheme="minorHAnsi" w:cstheme="minorBidi"/>
          <w:sz w:val="24"/>
          <w:szCs w:val="24"/>
        </w:rPr>
      </w:pPr>
      <w:bookmarkStart w:id="0" w:name="_GoBack"/>
      <w:bookmarkEnd w:id="0"/>
      <w:r w:rsidRPr="002E3400">
        <w:rPr>
          <w:rStyle w:val="Strong"/>
          <w:rFonts w:ascii="Arial" w:hAnsi="Arial" w:cs="Arial"/>
          <w:color w:val="000000"/>
          <w:sz w:val="24"/>
          <w:szCs w:val="24"/>
        </w:rPr>
        <w:t>Rhetoric and Writing Studies</w:t>
      </w:r>
    </w:p>
    <w:p w14:paraId="2DA400D8" w14:textId="77777777" w:rsidR="009C2733" w:rsidRPr="002E3400" w:rsidRDefault="009C2733" w:rsidP="009C2733">
      <w:pPr>
        <w:jc w:val="center"/>
        <w:rPr>
          <w:rStyle w:val="Strong"/>
        </w:rPr>
      </w:pPr>
      <w:r w:rsidRPr="002E3400">
        <w:rPr>
          <w:rStyle w:val="Strong"/>
          <w:rFonts w:ascii="Arial" w:hAnsi="Arial" w:cs="Arial"/>
          <w:color w:val="000000"/>
          <w:sz w:val="24"/>
          <w:szCs w:val="24"/>
        </w:rPr>
        <w:t>PhD Program</w:t>
      </w:r>
    </w:p>
    <w:p w14:paraId="07C13983" w14:textId="77777777" w:rsidR="009C2733" w:rsidRPr="002E3400" w:rsidRDefault="009C2733" w:rsidP="009C2733">
      <w:pPr>
        <w:jc w:val="center"/>
        <w:rPr>
          <w:rStyle w:val="Strong"/>
        </w:rPr>
      </w:pPr>
      <w:r w:rsidRPr="002E3400">
        <w:rPr>
          <w:rStyle w:val="Strong"/>
          <w:rFonts w:ascii="Arial" w:hAnsi="Arial" w:cs="Arial"/>
          <w:color w:val="000000"/>
          <w:sz w:val="24"/>
          <w:szCs w:val="24"/>
        </w:rPr>
        <w:t>Qualifying Examination</w:t>
      </w:r>
    </w:p>
    <w:p w14:paraId="1AC7FE4E" w14:textId="77777777" w:rsidR="009C2733" w:rsidRDefault="009C2733" w:rsidP="009C2733">
      <w:pPr>
        <w:jc w:val="center"/>
        <w:rPr>
          <w:rStyle w:val="Strong"/>
        </w:rPr>
      </w:pPr>
      <w:r>
        <w:rPr>
          <w:rStyle w:val="Strong"/>
          <w:rFonts w:ascii="Arial" w:hAnsi="Arial" w:cs="Arial"/>
          <w:color w:val="000000"/>
          <w:sz w:val="24"/>
          <w:szCs w:val="24"/>
        </w:rPr>
        <w:t>August 5-8, 2016</w:t>
      </w:r>
    </w:p>
    <w:p w14:paraId="0573B428" w14:textId="77777777" w:rsidR="009C2733" w:rsidRDefault="009C2733" w:rsidP="009C2733">
      <w:pPr>
        <w:rPr>
          <w:rStyle w:val="Strong"/>
        </w:rPr>
      </w:pPr>
    </w:p>
    <w:p w14:paraId="42D31063" w14:textId="77777777" w:rsidR="009C2733" w:rsidRPr="00F84C22" w:rsidRDefault="009C2733" w:rsidP="009C2733">
      <w:pPr>
        <w:ind w:left="720" w:hanging="720"/>
        <w:rPr>
          <w:rStyle w:val="Strong"/>
          <w:b w:val="0"/>
          <w:sz w:val="24"/>
          <w:szCs w:val="24"/>
        </w:rPr>
      </w:pPr>
      <w:r>
        <w:rPr>
          <w:rStyle w:val="Strong"/>
          <w:color w:val="000000"/>
          <w:sz w:val="24"/>
          <w:szCs w:val="24"/>
        </w:rPr>
        <w:t xml:space="preserve">Exam for Jennifer Falcon, Brenda Gallardo, Terry </w:t>
      </w:r>
      <w:proofErr w:type="spellStart"/>
      <w:r>
        <w:rPr>
          <w:rStyle w:val="Strong"/>
          <w:color w:val="000000"/>
          <w:sz w:val="24"/>
          <w:szCs w:val="24"/>
        </w:rPr>
        <w:t>McEneny</w:t>
      </w:r>
      <w:proofErr w:type="spellEnd"/>
      <w:r>
        <w:rPr>
          <w:rStyle w:val="Strong"/>
          <w:color w:val="000000"/>
          <w:sz w:val="24"/>
          <w:szCs w:val="24"/>
        </w:rPr>
        <w:t>, Margarita Medina, Heather Smith, Sabrina Vargas-Ortiz, and Jasmine Villa</w:t>
      </w:r>
    </w:p>
    <w:p w14:paraId="36288619" w14:textId="77777777" w:rsidR="009C2733" w:rsidRDefault="009C2733" w:rsidP="009C2733">
      <w:pPr>
        <w:rPr>
          <w:rStyle w:val="Strong"/>
          <w:color w:val="000000"/>
          <w:sz w:val="24"/>
          <w:szCs w:val="24"/>
        </w:rPr>
      </w:pPr>
    </w:p>
    <w:p w14:paraId="4BAD48A5" w14:textId="77777777" w:rsidR="009C2733" w:rsidRPr="00DD3320" w:rsidRDefault="009C2733" w:rsidP="009C2733">
      <w:pPr>
        <w:rPr>
          <w:rStyle w:val="Strong"/>
          <w:b w:val="0"/>
          <w:sz w:val="24"/>
          <w:szCs w:val="24"/>
        </w:rPr>
      </w:pPr>
      <w:r w:rsidRPr="00DD3320">
        <w:rPr>
          <w:rStyle w:val="Strong"/>
          <w:b w:val="0"/>
          <w:color w:val="000000"/>
          <w:sz w:val="24"/>
          <w:szCs w:val="24"/>
        </w:rPr>
        <w:t xml:space="preserve">Below are the instructions and questions for your qualifying exam.  Please return your exams to </w:t>
      </w:r>
      <w:proofErr w:type="spellStart"/>
      <w:r w:rsidRPr="00DD3320">
        <w:rPr>
          <w:rStyle w:val="Strong"/>
          <w:b w:val="0"/>
          <w:color w:val="000000"/>
          <w:sz w:val="24"/>
          <w:szCs w:val="24"/>
        </w:rPr>
        <w:t>Mitzel</w:t>
      </w:r>
      <w:proofErr w:type="spellEnd"/>
      <w:r w:rsidRPr="00DD3320">
        <w:rPr>
          <w:rStyle w:val="Strong"/>
          <w:b w:val="0"/>
          <w:color w:val="000000"/>
          <w:sz w:val="24"/>
          <w:szCs w:val="24"/>
        </w:rPr>
        <w:t xml:space="preserve"> Garcia (maveytia@utep.edu) at or before 8:00 am on Monday, August 8.  </w:t>
      </w:r>
    </w:p>
    <w:p w14:paraId="51C8BA6E" w14:textId="77777777" w:rsidR="009C2733" w:rsidRPr="00DD3320" w:rsidRDefault="009C2733" w:rsidP="009C2733">
      <w:pPr>
        <w:rPr>
          <w:rStyle w:val="Strong"/>
          <w:b w:val="0"/>
          <w:sz w:val="24"/>
          <w:szCs w:val="24"/>
        </w:rPr>
      </w:pPr>
    </w:p>
    <w:p w14:paraId="1CA4FBA9" w14:textId="77777777" w:rsidR="009C2733" w:rsidRPr="00DD3320" w:rsidRDefault="009C2733" w:rsidP="009C2733">
      <w:pPr>
        <w:rPr>
          <w:rStyle w:val="Strong"/>
          <w:b w:val="0"/>
          <w:sz w:val="24"/>
          <w:szCs w:val="24"/>
        </w:rPr>
      </w:pPr>
      <w:r w:rsidRPr="00DD3320">
        <w:rPr>
          <w:rStyle w:val="Strong"/>
          <w:b w:val="0"/>
          <w:color w:val="000000"/>
          <w:sz w:val="24"/>
          <w:szCs w:val="24"/>
        </w:rPr>
        <w:t xml:space="preserve">The RWS Committee evaluates the exams anonymously.  Before sending the exams to the committee, </w:t>
      </w:r>
      <w:proofErr w:type="spellStart"/>
      <w:r w:rsidRPr="00DD3320">
        <w:rPr>
          <w:rStyle w:val="Strong"/>
          <w:b w:val="0"/>
          <w:color w:val="000000"/>
          <w:sz w:val="24"/>
          <w:szCs w:val="24"/>
        </w:rPr>
        <w:t>Mitzel</w:t>
      </w:r>
      <w:proofErr w:type="spellEnd"/>
      <w:r w:rsidRPr="00DD3320">
        <w:rPr>
          <w:rStyle w:val="Strong"/>
          <w:b w:val="0"/>
          <w:color w:val="000000"/>
          <w:sz w:val="24"/>
          <w:szCs w:val="24"/>
        </w:rPr>
        <w:t xml:space="preserve"> will delete your names and give you identification numbers.</w:t>
      </w:r>
    </w:p>
    <w:p w14:paraId="005732E1" w14:textId="77777777" w:rsidR="009C2733" w:rsidRPr="00DD3320" w:rsidRDefault="009C2733" w:rsidP="009C2733">
      <w:pPr>
        <w:rPr>
          <w:rStyle w:val="Strong"/>
          <w:b w:val="0"/>
          <w:sz w:val="24"/>
          <w:szCs w:val="24"/>
        </w:rPr>
      </w:pPr>
    </w:p>
    <w:p w14:paraId="2C4782DC" w14:textId="77777777" w:rsidR="009C2733" w:rsidRPr="00DD3320" w:rsidRDefault="009C2733" w:rsidP="009C2733">
      <w:pPr>
        <w:rPr>
          <w:rStyle w:val="Strong"/>
          <w:b w:val="0"/>
          <w:color w:val="000000"/>
          <w:sz w:val="24"/>
          <w:szCs w:val="24"/>
        </w:rPr>
      </w:pPr>
      <w:r w:rsidRPr="00DD3320">
        <w:rPr>
          <w:rStyle w:val="Strong"/>
          <w:b w:val="0"/>
          <w:color w:val="000000"/>
          <w:sz w:val="24"/>
          <w:szCs w:val="24"/>
        </w:rPr>
        <w:t xml:space="preserve">Following is information regarding the required format of the examination, assessment criteria for the examination, examination grades, and, finally, the examination questions. </w:t>
      </w:r>
    </w:p>
    <w:p w14:paraId="4E73F057" w14:textId="77777777" w:rsidR="009C2733" w:rsidRPr="00DD3320" w:rsidRDefault="009C2733" w:rsidP="009C2733">
      <w:pPr>
        <w:rPr>
          <w:rStyle w:val="Strong"/>
          <w:b w:val="0"/>
          <w:sz w:val="24"/>
          <w:szCs w:val="24"/>
        </w:rPr>
      </w:pPr>
    </w:p>
    <w:p w14:paraId="50D8073B" w14:textId="77777777" w:rsidR="009C2733" w:rsidRPr="00DD3320" w:rsidRDefault="009C2733" w:rsidP="009C2733">
      <w:pPr>
        <w:jc w:val="center"/>
        <w:rPr>
          <w:rStyle w:val="Strong"/>
          <w:b w:val="0"/>
          <w:sz w:val="24"/>
          <w:szCs w:val="24"/>
        </w:rPr>
      </w:pPr>
      <w:r w:rsidRPr="00DD3320">
        <w:rPr>
          <w:rStyle w:val="Strong"/>
          <w:b w:val="0"/>
          <w:color w:val="000000"/>
          <w:sz w:val="24"/>
          <w:szCs w:val="24"/>
        </w:rPr>
        <w:t>Format of the Examination</w:t>
      </w:r>
    </w:p>
    <w:p w14:paraId="0A9A432B" w14:textId="77777777" w:rsidR="009C2733" w:rsidRPr="00DD3320" w:rsidRDefault="009C2733" w:rsidP="009C2733">
      <w:pPr>
        <w:rPr>
          <w:rStyle w:val="Strong"/>
          <w:b w:val="0"/>
          <w:sz w:val="24"/>
          <w:szCs w:val="24"/>
        </w:rPr>
      </w:pPr>
      <w:r w:rsidRPr="00DD3320">
        <w:rPr>
          <w:rStyle w:val="Strong"/>
          <w:b w:val="0"/>
          <w:color w:val="000000"/>
          <w:sz w:val="24"/>
          <w:szCs w:val="24"/>
        </w:rPr>
        <w:t>Follow these directions to format your examination:</w:t>
      </w:r>
    </w:p>
    <w:p w14:paraId="5B0F8F34" w14:textId="77777777" w:rsidR="009C2733" w:rsidRPr="00DD3320" w:rsidRDefault="009C2733" w:rsidP="009C2733">
      <w:pPr>
        <w:numPr>
          <w:ilvl w:val="0"/>
          <w:numId w:val="2"/>
        </w:numPr>
        <w:rPr>
          <w:rStyle w:val="Strong"/>
          <w:b w:val="0"/>
          <w:sz w:val="24"/>
          <w:szCs w:val="24"/>
        </w:rPr>
      </w:pPr>
      <w:r w:rsidRPr="00DD3320">
        <w:rPr>
          <w:rStyle w:val="Strong"/>
          <w:b w:val="0"/>
          <w:color w:val="000000"/>
          <w:sz w:val="24"/>
          <w:szCs w:val="24"/>
        </w:rPr>
        <w:t xml:space="preserve">Do not exceed a </w:t>
      </w:r>
      <w:r w:rsidRPr="00DD3320">
        <w:rPr>
          <w:rStyle w:val="Strong"/>
          <w:b w:val="0"/>
          <w:i/>
          <w:color w:val="000000"/>
          <w:sz w:val="24"/>
          <w:szCs w:val="24"/>
        </w:rPr>
        <w:t xml:space="preserve">total </w:t>
      </w:r>
      <w:r w:rsidRPr="00DD3320">
        <w:rPr>
          <w:rStyle w:val="Strong"/>
          <w:b w:val="0"/>
          <w:color w:val="000000"/>
          <w:sz w:val="24"/>
          <w:szCs w:val="24"/>
        </w:rPr>
        <w:t xml:space="preserve">of 32 double-spaced pages, not counting a Works Cited or References page for each response.  You may use MLA or APA citation format.   </w:t>
      </w:r>
    </w:p>
    <w:p w14:paraId="7EF59BC6" w14:textId="77777777" w:rsidR="009C2733" w:rsidRPr="00DD3320" w:rsidRDefault="009C2733" w:rsidP="009C2733">
      <w:pPr>
        <w:numPr>
          <w:ilvl w:val="0"/>
          <w:numId w:val="2"/>
        </w:numPr>
        <w:rPr>
          <w:rStyle w:val="Strong"/>
          <w:b w:val="0"/>
          <w:sz w:val="24"/>
          <w:szCs w:val="24"/>
        </w:rPr>
      </w:pPr>
      <w:r w:rsidRPr="00DD3320">
        <w:rPr>
          <w:rStyle w:val="Strong"/>
          <w:b w:val="0"/>
          <w:color w:val="000000"/>
          <w:sz w:val="24"/>
          <w:szCs w:val="24"/>
        </w:rPr>
        <w:t xml:space="preserve">Use the font Times New Roman, 12 point. </w:t>
      </w:r>
    </w:p>
    <w:p w14:paraId="2F65EBA0" w14:textId="77777777" w:rsidR="009C2733" w:rsidRPr="00DD3320" w:rsidRDefault="009C2733" w:rsidP="009C2733">
      <w:pPr>
        <w:numPr>
          <w:ilvl w:val="0"/>
          <w:numId w:val="2"/>
        </w:numPr>
        <w:rPr>
          <w:rStyle w:val="Strong"/>
          <w:b w:val="0"/>
          <w:sz w:val="24"/>
          <w:szCs w:val="24"/>
        </w:rPr>
      </w:pPr>
      <w:r w:rsidRPr="00DD3320">
        <w:rPr>
          <w:rStyle w:val="Strong"/>
          <w:b w:val="0"/>
          <w:color w:val="000000"/>
          <w:sz w:val="24"/>
          <w:szCs w:val="24"/>
        </w:rPr>
        <w:t>Use one-inch margins.</w:t>
      </w:r>
    </w:p>
    <w:p w14:paraId="740D13CA" w14:textId="77777777" w:rsidR="009C2733" w:rsidRPr="00DD3320" w:rsidRDefault="009C2733" w:rsidP="009C2733">
      <w:pPr>
        <w:numPr>
          <w:ilvl w:val="0"/>
          <w:numId w:val="2"/>
        </w:numPr>
        <w:rPr>
          <w:rStyle w:val="Strong"/>
          <w:b w:val="0"/>
          <w:bCs w:val="0"/>
          <w:sz w:val="24"/>
          <w:szCs w:val="24"/>
        </w:rPr>
      </w:pPr>
      <w:r w:rsidRPr="00DD3320">
        <w:rPr>
          <w:rStyle w:val="Strong"/>
          <w:b w:val="0"/>
          <w:color w:val="000000"/>
          <w:sz w:val="24"/>
          <w:szCs w:val="24"/>
        </w:rPr>
        <w:t>Number your responses with the course number (suggested heading: Question #1, ENGL 6310, page # x); at the beginning of your response, write the question, single-spaced, to which you are responding at the beginning to your response.</w:t>
      </w:r>
    </w:p>
    <w:p w14:paraId="34BD3534" w14:textId="77777777" w:rsidR="009C2733" w:rsidRPr="00DD3320" w:rsidRDefault="009C2733" w:rsidP="009C2733">
      <w:pPr>
        <w:numPr>
          <w:ilvl w:val="0"/>
          <w:numId w:val="2"/>
        </w:numPr>
        <w:rPr>
          <w:rStyle w:val="Strong"/>
          <w:b w:val="0"/>
          <w:bCs w:val="0"/>
          <w:sz w:val="24"/>
          <w:szCs w:val="24"/>
        </w:rPr>
      </w:pPr>
      <w:r w:rsidRPr="00DD3320">
        <w:rPr>
          <w:rStyle w:val="Strong"/>
          <w:b w:val="0"/>
          <w:color w:val="000000"/>
          <w:sz w:val="24"/>
          <w:szCs w:val="24"/>
        </w:rPr>
        <w:t xml:space="preserve">Include a Works Cited or Reference page after each individual response (in other words, </w:t>
      </w:r>
      <w:r w:rsidRPr="00DD3320">
        <w:rPr>
          <w:rStyle w:val="Strong"/>
          <w:b w:val="0"/>
          <w:i/>
          <w:color w:val="000000"/>
          <w:sz w:val="24"/>
          <w:szCs w:val="24"/>
        </w:rPr>
        <w:t>don’</w:t>
      </w:r>
      <w:r w:rsidRPr="00DD3320">
        <w:rPr>
          <w:rStyle w:val="Strong"/>
          <w:b w:val="0"/>
          <w:color w:val="000000"/>
          <w:sz w:val="24"/>
          <w:szCs w:val="24"/>
        </w:rPr>
        <w:t xml:space="preserve">t combine the Works Cited pages and put them at the end of the exam).  </w:t>
      </w:r>
    </w:p>
    <w:p w14:paraId="59AED971" w14:textId="77777777" w:rsidR="009C2733" w:rsidRPr="00DD3320" w:rsidRDefault="009C2733" w:rsidP="009C2733">
      <w:pPr>
        <w:numPr>
          <w:ilvl w:val="0"/>
          <w:numId w:val="2"/>
        </w:numPr>
        <w:rPr>
          <w:sz w:val="24"/>
          <w:szCs w:val="24"/>
        </w:rPr>
      </w:pPr>
      <w:r w:rsidRPr="00DD3320">
        <w:rPr>
          <w:rStyle w:val="Strong"/>
          <w:color w:val="000000"/>
          <w:sz w:val="24"/>
          <w:szCs w:val="24"/>
        </w:rPr>
        <w:t xml:space="preserve">Send each of your five responses to </w:t>
      </w:r>
      <w:proofErr w:type="spellStart"/>
      <w:r w:rsidRPr="00DD3320">
        <w:rPr>
          <w:rStyle w:val="Strong"/>
          <w:color w:val="000000"/>
          <w:sz w:val="24"/>
          <w:szCs w:val="24"/>
        </w:rPr>
        <w:t>Mitzel</w:t>
      </w:r>
      <w:proofErr w:type="spellEnd"/>
      <w:r w:rsidRPr="00DD3320">
        <w:rPr>
          <w:rStyle w:val="Strong"/>
          <w:color w:val="000000"/>
          <w:sz w:val="24"/>
          <w:szCs w:val="24"/>
        </w:rPr>
        <w:t xml:space="preserve"> in a separate word file that is clearly labeled by course number.</w:t>
      </w:r>
    </w:p>
    <w:p w14:paraId="23D89DD1" w14:textId="77777777" w:rsidR="009C2733" w:rsidRPr="00DD3320" w:rsidRDefault="009C2733" w:rsidP="009C2733">
      <w:pPr>
        <w:rPr>
          <w:sz w:val="24"/>
          <w:szCs w:val="24"/>
        </w:rPr>
      </w:pPr>
    </w:p>
    <w:p w14:paraId="482B25A1" w14:textId="77777777" w:rsidR="009C2733" w:rsidRPr="00DD3320" w:rsidRDefault="009C2733" w:rsidP="009C2733">
      <w:pPr>
        <w:rPr>
          <w:sz w:val="24"/>
          <w:szCs w:val="24"/>
        </w:rPr>
      </w:pPr>
    </w:p>
    <w:p w14:paraId="3A4F6F00" w14:textId="77777777" w:rsidR="009C2733" w:rsidRPr="00DD3320" w:rsidRDefault="009C2733" w:rsidP="009C2733">
      <w:pPr>
        <w:jc w:val="center"/>
        <w:rPr>
          <w:rStyle w:val="Strong"/>
          <w:b w:val="0"/>
          <w:sz w:val="24"/>
          <w:szCs w:val="24"/>
        </w:rPr>
      </w:pPr>
      <w:r w:rsidRPr="00DD3320">
        <w:rPr>
          <w:rStyle w:val="Strong"/>
          <w:b w:val="0"/>
          <w:color w:val="000000"/>
          <w:sz w:val="24"/>
          <w:szCs w:val="24"/>
        </w:rPr>
        <w:t>Assessment Criteria for the Examination</w:t>
      </w:r>
    </w:p>
    <w:p w14:paraId="146220DA" w14:textId="77777777" w:rsidR="009C2733" w:rsidRPr="00DD3320" w:rsidRDefault="009C2733" w:rsidP="009C2733">
      <w:pPr>
        <w:rPr>
          <w:sz w:val="24"/>
          <w:szCs w:val="24"/>
        </w:rPr>
      </w:pPr>
      <w:r w:rsidRPr="00DD3320">
        <w:rPr>
          <w:rStyle w:val="Strong"/>
          <w:b w:val="0"/>
          <w:color w:val="000000"/>
          <w:sz w:val="24"/>
          <w:szCs w:val="24"/>
        </w:rPr>
        <w:t xml:space="preserve">In your examination responses, we expect that you will do the following: </w:t>
      </w:r>
      <w:r w:rsidRPr="00DD3320">
        <w:rPr>
          <w:sz w:val="24"/>
          <w:szCs w:val="24"/>
        </w:rPr>
        <w:t xml:space="preserve">  </w:t>
      </w:r>
    </w:p>
    <w:p w14:paraId="13931A79" w14:textId="77777777" w:rsidR="009C2733" w:rsidRPr="00DD3320" w:rsidRDefault="009C2733" w:rsidP="009C2733">
      <w:pPr>
        <w:numPr>
          <w:ilvl w:val="0"/>
          <w:numId w:val="1"/>
        </w:numPr>
        <w:rPr>
          <w:sz w:val="24"/>
          <w:szCs w:val="24"/>
        </w:rPr>
      </w:pPr>
      <w:r w:rsidRPr="00DD3320">
        <w:rPr>
          <w:sz w:val="24"/>
          <w:szCs w:val="24"/>
        </w:rPr>
        <w:t>Present succinct and insightful analyses of the readings, including the major assumptions and rhetorical stances of the authors;</w:t>
      </w:r>
    </w:p>
    <w:p w14:paraId="0D6B4E2E" w14:textId="77777777" w:rsidR="009C2733" w:rsidRPr="00DD3320" w:rsidRDefault="009C2733" w:rsidP="009C2733">
      <w:pPr>
        <w:numPr>
          <w:ilvl w:val="0"/>
          <w:numId w:val="1"/>
        </w:numPr>
        <w:rPr>
          <w:sz w:val="24"/>
          <w:szCs w:val="24"/>
        </w:rPr>
      </w:pPr>
      <w:r w:rsidRPr="00DD3320">
        <w:rPr>
          <w:sz w:val="24"/>
          <w:szCs w:val="24"/>
        </w:rPr>
        <w:t>Situate the readings within broader theoretical, pedagogical, and/or historical contexts;</w:t>
      </w:r>
    </w:p>
    <w:p w14:paraId="68A2F35B" w14:textId="77777777" w:rsidR="009C2733" w:rsidRPr="00DD3320" w:rsidRDefault="009C2733" w:rsidP="009C2733">
      <w:pPr>
        <w:numPr>
          <w:ilvl w:val="0"/>
          <w:numId w:val="1"/>
        </w:numPr>
        <w:rPr>
          <w:sz w:val="24"/>
          <w:szCs w:val="24"/>
        </w:rPr>
      </w:pPr>
      <w:r w:rsidRPr="00DD3320">
        <w:rPr>
          <w:sz w:val="24"/>
          <w:szCs w:val="24"/>
        </w:rPr>
        <w:t>Reflect critically upon the arguments, contexts, and line of inquiry in the readings;</w:t>
      </w:r>
    </w:p>
    <w:p w14:paraId="4E5ED02F" w14:textId="77777777" w:rsidR="009C2733" w:rsidRPr="00DD3320" w:rsidRDefault="009C2733" w:rsidP="009C2733">
      <w:pPr>
        <w:numPr>
          <w:ilvl w:val="0"/>
          <w:numId w:val="1"/>
        </w:numPr>
        <w:rPr>
          <w:sz w:val="24"/>
          <w:szCs w:val="24"/>
        </w:rPr>
      </w:pPr>
      <w:r w:rsidRPr="00DD3320">
        <w:rPr>
          <w:sz w:val="24"/>
          <w:szCs w:val="24"/>
        </w:rPr>
        <w:t xml:space="preserve">Develop your own arguments from these reflections; and </w:t>
      </w:r>
    </w:p>
    <w:p w14:paraId="26658B05" w14:textId="77777777" w:rsidR="009C2733" w:rsidRPr="00DD3320" w:rsidRDefault="009C2733" w:rsidP="009C2733">
      <w:pPr>
        <w:numPr>
          <w:ilvl w:val="0"/>
          <w:numId w:val="1"/>
        </w:numPr>
        <w:rPr>
          <w:sz w:val="24"/>
          <w:szCs w:val="24"/>
        </w:rPr>
      </w:pPr>
      <w:r w:rsidRPr="00DD3320">
        <w:rPr>
          <w:sz w:val="24"/>
          <w:szCs w:val="24"/>
        </w:rPr>
        <w:t>Write your responses clearly and concisely.</w:t>
      </w:r>
    </w:p>
    <w:p w14:paraId="20930088" w14:textId="77777777" w:rsidR="009C2733" w:rsidRPr="00DD3320" w:rsidRDefault="009C2733" w:rsidP="009C2733">
      <w:pPr>
        <w:rPr>
          <w:sz w:val="24"/>
          <w:szCs w:val="24"/>
        </w:rPr>
      </w:pPr>
    </w:p>
    <w:p w14:paraId="42882059" w14:textId="77777777" w:rsidR="009C2733" w:rsidRPr="00DD3320" w:rsidRDefault="009C2733" w:rsidP="009C2733">
      <w:pPr>
        <w:jc w:val="center"/>
        <w:rPr>
          <w:sz w:val="24"/>
          <w:szCs w:val="24"/>
        </w:rPr>
      </w:pPr>
    </w:p>
    <w:p w14:paraId="7B4DBFFC" w14:textId="77777777" w:rsidR="009C2733" w:rsidRPr="00DD3320" w:rsidRDefault="009C2733" w:rsidP="009C2733">
      <w:pPr>
        <w:jc w:val="center"/>
        <w:rPr>
          <w:b/>
          <w:sz w:val="24"/>
          <w:szCs w:val="24"/>
        </w:rPr>
      </w:pPr>
    </w:p>
    <w:p w14:paraId="6D847337" w14:textId="77777777" w:rsidR="00970C75" w:rsidRDefault="00970C75" w:rsidP="009C2733">
      <w:pPr>
        <w:jc w:val="center"/>
        <w:rPr>
          <w:b/>
          <w:sz w:val="24"/>
          <w:szCs w:val="24"/>
        </w:rPr>
      </w:pPr>
    </w:p>
    <w:p w14:paraId="70CB1597" w14:textId="77777777" w:rsidR="009C2733" w:rsidRPr="00DD3320" w:rsidRDefault="009C2733" w:rsidP="009C2733">
      <w:pPr>
        <w:jc w:val="center"/>
        <w:rPr>
          <w:b/>
          <w:sz w:val="24"/>
          <w:szCs w:val="24"/>
        </w:rPr>
      </w:pPr>
      <w:r w:rsidRPr="00DD3320">
        <w:rPr>
          <w:b/>
          <w:sz w:val="24"/>
          <w:szCs w:val="24"/>
        </w:rPr>
        <w:lastRenderedPageBreak/>
        <w:t>Grading of the Examination</w:t>
      </w:r>
    </w:p>
    <w:p w14:paraId="3A082330" w14:textId="77777777" w:rsidR="009C2733" w:rsidRPr="00DD3320" w:rsidRDefault="009C2733" w:rsidP="009C2733">
      <w:pPr>
        <w:jc w:val="center"/>
        <w:rPr>
          <w:b/>
          <w:sz w:val="24"/>
          <w:szCs w:val="24"/>
        </w:rPr>
      </w:pPr>
    </w:p>
    <w:p w14:paraId="653AC07A" w14:textId="77777777" w:rsidR="009C2733" w:rsidRPr="00DD3320" w:rsidRDefault="009C2733" w:rsidP="009C2733">
      <w:pPr>
        <w:rPr>
          <w:sz w:val="24"/>
          <w:szCs w:val="24"/>
        </w:rPr>
      </w:pPr>
      <w:r w:rsidRPr="00DD3320">
        <w:rPr>
          <w:sz w:val="24"/>
          <w:szCs w:val="24"/>
        </w:rPr>
        <w:t xml:space="preserve">The grade range for examinations includes high pass, pass, low pass, and retake. </w:t>
      </w:r>
    </w:p>
    <w:p w14:paraId="19F6F292" w14:textId="77777777" w:rsidR="009C2733" w:rsidRPr="00DD3320" w:rsidRDefault="009C2733" w:rsidP="009C2733">
      <w:pPr>
        <w:rPr>
          <w:sz w:val="24"/>
          <w:szCs w:val="24"/>
        </w:rPr>
      </w:pPr>
    </w:p>
    <w:p w14:paraId="31C4943F" w14:textId="77777777" w:rsidR="009C2733" w:rsidRPr="00DD3320" w:rsidRDefault="009C2733" w:rsidP="009C2733">
      <w:pPr>
        <w:pStyle w:val="ListParagraph"/>
        <w:numPr>
          <w:ilvl w:val="0"/>
          <w:numId w:val="5"/>
        </w:numPr>
        <w:rPr>
          <w:sz w:val="24"/>
          <w:szCs w:val="24"/>
        </w:rPr>
      </w:pPr>
      <w:r w:rsidRPr="00DD3320">
        <w:rPr>
          <w:sz w:val="24"/>
          <w:szCs w:val="24"/>
        </w:rPr>
        <w:t xml:space="preserve">High Pass.  Students successfully completed </w:t>
      </w:r>
      <w:r w:rsidRPr="00DD3320">
        <w:rPr>
          <w:i/>
          <w:sz w:val="24"/>
          <w:szCs w:val="24"/>
        </w:rPr>
        <w:t xml:space="preserve">all </w:t>
      </w:r>
      <w:r w:rsidRPr="00DD3320">
        <w:rPr>
          <w:sz w:val="24"/>
          <w:szCs w:val="24"/>
        </w:rPr>
        <w:t xml:space="preserve">five sections of the examination on their first attempt. </w:t>
      </w:r>
    </w:p>
    <w:p w14:paraId="5D77FA1E" w14:textId="77777777" w:rsidR="009C2733" w:rsidRPr="00DD3320" w:rsidRDefault="009C2733" w:rsidP="009C2733">
      <w:pPr>
        <w:numPr>
          <w:ilvl w:val="0"/>
          <w:numId w:val="3"/>
        </w:numPr>
        <w:rPr>
          <w:sz w:val="24"/>
          <w:szCs w:val="24"/>
        </w:rPr>
      </w:pPr>
      <w:r w:rsidRPr="00DD3320">
        <w:rPr>
          <w:sz w:val="24"/>
          <w:szCs w:val="24"/>
        </w:rPr>
        <w:t>Pass.  Students successfully completed four of the five sections of the examination on their first attempt.  Students have one opportunity to re-write, within two to three weeks, the section not successfully completed.  The re-write needs to be assessed as satisfactory by the assessment committee.</w:t>
      </w:r>
    </w:p>
    <w:p w14:paraId="5EC34ACE" w14:textId="77777777" w:rsidR="009C2733" w:rsidRPr="00DD3320" w:rsidRDefault="009C2733" w:rsidP="009C2733">
      <w:pPr>
        <w:numPr>
          <w:ilvl w:val="0"/>
          <w:numId w:val="3"/>
        </w:numPr>
        <w:rPr>
          <w:sz w:val="24"/>
          <w:szCs w:val="24"/>
        </w:rPr>
      </w:pPr>
      <w:r w:rsidRPr="00DD3320">
        <w:rPr>
          <w:sz w:val="24"/>
          <w:szCs w:val="24"/>
        </w:rPr>
        <w:t>Low Pass.  Students successfully completed three of the five sections of the examination on their first attempt.  Students have one opportunity to re-write, within two to three weeks, the sections not successfully completed.  The re-write needs to be assessed as satisfactory by the assessment committee.</w:t>
      </w:r>
    </w:p>
    <w:p w14:paraId="0519AEFC" w14:textId="77777777" w:rsidR="009C2733" w:rsidRPr="00DD3320" w:rsidRDefault="009C2733" w:rsidP="009C2733">
      <w:pPr>
        <w:numPr>
          <w:ilvl w:val="0"/>
          <w:numId w:val="3"/>
        </w:numPr>
        <w:rPr>
          <w:sz w:val="24"/>
          <w:szCs w:val="24"/>
        </w:rPr>
      </w:pPr>
      <w:r w:rsidRPr="00DD3320">
        <w:rPr>
          <w:sz w:val="24"/>
          <w:szCs w:val="24"/>
        </w:rPr>
        <w:t>Retake. Students who completed two or fewer of the five sections successfully on their first attempt will re-take the examination in the subsequent semester.  If they do not pass the exam on the second attempt, they will not be allowed to proceed in the program.</w:t>
      </w:r>
    </w:p>
    <w:p w14:paraId="455AAD79" w14:textId="77777777" w:rsidR="009C2733" w:rsidRPr="00DD3320" w:rsidRDefault="009C2733" w:rsidP="009C2733">
      <w:pPr>
        <w:numPr>
          <w:ilvl w:val="0"/>
          <w:numId w:val="3"/>
        </w:numPr>
        <w:rPr>
          <w:sz w:val="24"/>
          <w:szCs w:val="24"/>
        </w:rPr>
      </w:pPr>
      <w:r w:rsidRPr="00DD3320">
        <w:rPr>
          <w:b/>
          <w:sz w:val="24"/>
          <w:szCs w:val="24"/>
        </w:rPr>
        <w:t>All five portions of the exam need to be completed when the exam is given.  If one or more questions are not answered, the exam will receive a failing grade.</w:t>
      </w:r>
    </w:p>
    <w:p w14:paraId="42BDD013" w14:textId="77777777" w:rsidR="009C2733" w:rsidRPr="00DD3320" w:rsidRDefault="009C2733" w:rsidP="009C2733">
      <w:pPr>
        <w:rPr>
          <w:sz w:val="24"/>
          <w:szCs w:val="24"/>
        </w:rPr>
      </w:pPr>
    </w:p>
    <w:p w14:paraId="06E44FEF" w14:textId="77777777" w:rsidR="009C2733" w:rsidRPr="00DD3320" w:rsidRDefault="009C2733" w:rsidP="009C2733">
      <w:pPr>
        <w:rPr>
          <w:sz w:val="24"/>
          <w:szCs w:val="24"/>
        </w:rPr>
      </w:pPr>
    </w:p>
    <w:p w14:paraId="7FDB2DEE" w14:textId="2644AD1D" w:rsidR="009C2733" w:rsidRPr="00DD3320" w:rsidRDefault="00DD3320" w:rsidP="009C2733">
      <w:pPr>
        <w:rPr>
          <w:b/>
          <w:sz w:val="24"/>
          <w:szCs w:val="24"/>
        </w:rPr>
      </w:pPr>
      <w:r w:rsidRPr="00DD3320">
        <w:rPr>
          <w:b/>
          <w:sz w:val="24"/>
          <w:szCs w:val="24"/>
        </w:rPr>
        <w:t>RWS</w:t>
      </w:r>
      <w:r w:rsidR="009C2733" w:rsidRPr="00DD3320">
        <w:rPr>
          <w:b/>
          <w:sz w:val="24"/>
          <w:szCs w:val="24"/>
        </w:rPr>
        <w:t xml:space="preserve"> 6310: Rhetorical History I</w:t>
      </w:r>
    </w:p>
    <w:p w14:paraId="167E06D0" w14:textId="77777777" w:rsidR="009C2733" w:rsidRPr="00DD3320" w:rsidRDefault="009C2733" w:rsidP="009C2733">
      <w:pPr>
        <w:rPr>
          <w:b/>
          <w:sz w:val="24"/>
          <w:szCs w:val="24"/>
        </w:rPr>
      </w:pPr>
    </w:p>
    <w:p w14:paraId="7BD81D12" w14:textId="77777777" w:rsidR="009C2733" w:rsidRPr="00DD3320" w:rsidRDefault="009C2733" w:rsidP="009C2733">
      <w:pPr>
        <w:widowControl w:val="0"/>
        <w:autoSpaceDE w:val="0"/>
        <w:autoSpaceDN w:val="0"/>
        <w:adjustRightInd w:val="0"/>
        <w:rPr>
          <w:color w:val="191919"/>
          <w:sz w:val="24"/>
          <w:szCs w:val="24"/>
        </w:rPr>
      </w:pPr>
      <w:r w:rsidRPr="00DD3320">
        <w:rPr>
          <w:sz w:val="24"/>
          <w:szCs w:val="24"/>
        </w:rPr>
        <w:t>In </w:t>
      </w:r>
      <w:r w:rsidRPr="00DD3320">
        <w:rPr>
          <w:i/>
          <w:iCs/>
          <w:sz w:val="24"/>
          <w:szCs w:val="24"/>
        </w:rPr>
        <w:t>Rhetoric Before and Beyond the Greeks</w:t>
      </w:r>
      <w:r w:rsidRPr="00DD3320">
        <w:rPr>
          <w:sz w:val="24"/>
          <w:szCs w:val="24"/>
        </w:rPr>
        <w:t>, Roberta Binkley states that working with cultures more ancient than the Greeks ..."illuminates the particular embeddedness that shapes and formulates the </w:t>
      </w:r>
      <w:proofErr w:type="spellStart"/>
      <w:proofErr w:type="gramStart"/>
      <w:r w:rsidRPr="00DD3320">
        <w:rPr>
          <w:sz w:val="24"/>
          <w:szCs w:val="24"/>
        </w:rPr>
        <w:t>eurocentric</w:t>
      </w:r>
      <w:proofErr w:type="spellEnd"/>
      <w:proofErr w:type="gramEnd"/>
      <w:r w:rsidRPr="00DD3320">
        <w:rPr>
          <w:sz w:val="24"/>
          <w:szCs w:val="24"/>
        </w:rPr>
        <w:t xml:space="preserve"> tradition of rhetoric…” (p. 47). Choose a particular non-Western ancient rhetorical tradition (or weekly theme from the course) and consider the influence of a </w:t>
      </w:r>
      <w:proofErr w:type="spellStart"/>
      <w:proofErr w:type="gramStart"/>
      <w:r w:rsidRPr="00DD3320">
        <w:rPr>
          <w:sz w:val="24"/>
          <w:szCs w:val="24"/>
        </w:rPr>
        <w:t>eurocentric</w:t>
      </w:r>
      <w:proofErr w:type="spellEnd"/>
      <w:proofErr w:type="gramEnd"/>
      <w:r w:rsidRPr="00DD3320">
        <w:rPr>
          <w:sz w:val="24"/>
          <w:szCs w:val="24"/>
        </w:rPr>
        <w:t xml:space="preserve"> rhetorical history. Frame your response as an argument that includes: a.) the major contributions of this ancient tradition and b.) </w:t>
      </w:r>
      <w:proofErr w:type="gramStart"/>
      <w:r w:rsidRPr="00DD3320">
        <w:rPr>
          <w:sz w:val="24"/>
          <w:szCs w:val="24"/>
        </w:rPr>
        <w:t>how</w:t>
      </w:r>
      <w:proofErr w:type="gramEnd"/>
      <w:r w:rsidRPr="00DD3320">
        <w:rPr>
          <w:sz w:val="24"/>
          <w:szCs w:val="24"/>
        </w:rPr>
        <w:t xml:space="preserve"> the Greek lens oversimplifies (or in some cases discredits) this tradition. As part of “b.” you must address Aristotle's definition of rhetoric as </w:t>
      </w:r>
      <w:proofErr w:type="spellStart"/>
      <w:r w:rsidRPr="00DD3320">
        <w:rPr>
          <w:i/>
          <w:iCs/>
          <w:sz w:val="24"/>
          <w:szCs w:val="24"/>
        </w:rPr>
        <w:t>techne</w:t>
      </w:r>
      <w:proofErr w:type="spellEnd"/>
      <w:r w:rsidRPr="00DD3320">
        <w:rPr>
          <w:sz w:val="24"/>
          <w:szCs w:val="24"/>
        </w:rPr>
        <w:t>. Though you may bring in other readings as support for your argument, please base your answers primarily on the texts we studied in the class.</w:t>
      </w:r>
    </w:p>
    <w:p w14:paraId="2CE02EA1" w14:textId="77777777" w:rsidR="009C2733" w:rsidRPr="00DD3320" w:rsidRDefault="009C2733" w:rsidP="009C2733">
      <w:pPr>
        <w:rPr>
          <w:sz w:val="24"/>
          <w:szCs w:val="24"/>
        </w:rPr>
      </w:pPr>
      <w:r w:rsidRPr="00DD3320">
        <w:rPr>
          <w:sz w:val="24"/>
          <w:szCs w:val="24"/>
        </w:rPr>
        <w:t> </w:t>
      </w:r>
    </w:p>
    <w:p w14:paraId="2F69B054" w14:textId="77777777" w:rsidR="009C2733" w:rsidRPr="00DD3320" w:rsidRDefault="009C2733" w:rsidP="009C2733">
      <w:pPr>
        <w:rPr>
          <w:sz w:val="24"/>
          <w:szCs w:val="24"/>
        </w:rPr>
      </w:pPr>
    </w:p>
    <w:p w14:paraId="049E5831" w14:textId="4C496323" w:rsidR="009C2733" w:rsidRPr="00DD3320" w:rsidRDefault="00DD3320" w:rsidP="009C2733">
      <w:pPr>
        <w:rPr>
          <w:sz w:val="24"/>
          <w:szCs w:val="24"/>
        </w:rPr>
      </w:pPr>
      <w:r w:rsidRPr="00DD3320">
        <w:rPr>
          <w:b/>
          <w:sz w:val="24"/>
          <w:szCs w:val="24"/>
        </w:rPr>
        <w:t>RWS</w:t>
      </w:r>
      <w:r w:rsidR="009C2733" w:rsidRPr="00DD3320">
        <w:rPr>
          <w:b/>
          <w:sz w:val="24"/>
          <w:szCs w:val="24"/>
        </w:rPr>
        <w:t xml:space="preserve"> 6311: Rhetorical History II: Rhetoric Since the Renaissance</w:t>
      </w:r>
    </w:p>
    <w:p w14:paraId="49AA02D4" w14:textId="77777777" w:rsidR="009C2733" w:rsidRPr="00DD3320" w:rsidRDefault="009C2733" w:rsidP="009C2733">
      <w:pPr>
        <w:rPr>
          <w:b/>
          <w:sz w:val="24"/>
          <w:szCs w:val="24"/>
        </w:rPr>
      </w:pPr>
    </w:p>
    <w:p w14:paraId="0F5CF40A" w14:textId="7C0ADF0C" w:rsidR="003B3B71" w:rsidRPr="00DD3320" w:rsidRDefault="003B3B71" w:rsidP="009C2733">
      <w:pPr>
        <w:rPr>
          <w:b/>
          <w:sz w:val="24"/>
          <w:szCs w:val="24"/>
        </w:rPr>
      </w:pPr>
      <w:r w:rsidRPr="00DD3320">
        <w:rPr>
          <w:rFonts w:eastAsiaTheme="minorEastAsia"/>
          <w:color w:val="191919"/>
          <w:sz w:val="24"/>
          <w:szCs w:val="24"/>
        </w:rPr>
        <w:t>Discuss the impact of the work of three authors from the History II course reading list on the “rhetorical landscape” (Royster, 2003). You may focus your argument on rhetoric itself or on a related aspect, including but not limited to agency, audience, invention, pedagogy, access, epistemology, and silence. Remember to make explicit (1) your rationale for grouping the three authors, and (2) the significance of their work in their respective contexts and as it continues to be influential in the discipline today.</w:t>
      </w:r>
    </w:p>
    <w:p w14:paraId="1A3B4D3E" w14:textId="77777777" w:rsidR="009C2733" w:rsidRPr="00DD3320" w:rsidRDefault="009C2733" w:rsidP="009C2733">
      <w:pPr>
        <w:rPr>
          <w:sz w:val="24"/>
          <w:szCs w:val="24"/>
        </w:rPr>
      </w:pPr>
    </w:p>
    <w:p w14:paraId="4AE2C77D" w14:textId="77777777" w:rsidR="00970C75" w:rsidRDefault="00970C75" w:rsidP="009C2733">
      <w:pPr>
        <w:rPr>
          <w:b/>
          <w:sz w:val="24"/>
          <w:szCs w:val="24"/>
        </w:rPr>
      </w:pPr>
    </w:p>
    <w:p w14:paraId="6B0E1A74" w14:textId="13F729DC" w:rsidR="009C2733" w:rsidRPr="00DD3320" w:rsidRDefault="00DD3320" w:rsidP="009C2733">
      <w:pPr>
        <w:rPr>
          <w:b/>
          <w:sz w:val="24"/>
          <w:szCs w:val="24"/>
        </w:rPr>
      </w:pPr>
      <w:r w:rsidRPr="00DD3320">
        <w:rPr>
          <w:b/>
          <w:sz w:val="24"/>
          <w:szCs w:val="24"/>
        </w:rPr>
        <w:t>RWS</w:t>
      </w:r>
      <w:r w:rsidR="009C2733" w:rsidRPr="00DD3320">
        <w:rPr>
          <w:b/>
          <w:sz w:val="24"/>
          <w:szCs w:val="24"/>
        </w:rPr>
        <w:t xml:space="preserve"> 6319:  Composition Studies</w:t>
      </w:r>
    </w:p>
    <w:p w14:paraId="790BDB73" w14:textId="77777777" w:rsidR="00970C75" w:rsidRDefault="00970C75" w:rsidP="00DD3320">
      <w:pPr>
        <w:widowControl w:val="0"/>
        <w:autoSpaceDE w:val="0"/>
        <w:autoSpaceDN w:val="0"/>
        <w:adjustRightInd w:val="0"/>
        <w:rPr>
          <w:color w:val="191919"/>
          <w:sz w:val="24"/>
          <w:szCs w:val="24"/>
        </w:rPr>
      </w:pPr>
    </w:p>
    <w:p w14:paraId="1334739F" w14:textId="77777777" w:rsidR="00DD3320" w:rsidRPr="00DD3320" w:rsidRDefault="00DD3320" w:rsidP="00DD3320">
      <w:pPr>
        <w:widowControl w:val="0"/>
        <w:autoSpaceDE w:val="0"/>
        <w:autoSpaceDN w:val="0"/>
        <w:adjustRightInd w:val="0"/>
        <w:rPr>
          <w:color w:val="191919"/>
          <w:sz w:val="24"/>
          <w:szCs w:val="24"/>
        </w:rPr>
      </w:pPr>
      <w:r w:rsidRPr="00DD3320">
        <w:rPr>
          <w:color w:val="191919"/>
          <w:sz w:val="24"/>
          <w:szCs w:val="24"/>
        </w:rPr>
        <w:t>Choose one of the following:</w:t>
      </w:r>
    </w:p>
    <w:p w14:paraId="5E444C5D" w14:textId="77777777" w:rsidR="00DD3320" w:rsidRPr="00DD3320" w:rsidRDefault="00DD3320" w:rsidP="00DD3320">
      <w:pPr>
        <w:widowControl w:val="0"/>
        <w:autoSpaceDE w:val="0"/>
        <w:autoSpaceDN w:val="0"/>
        <w:adjustRightInd w:val="0"/>
        <w:rPr>
          <w:color w:val="191919"/>
          <w:sz w:val="24"/>
          <w:szCs w:val="24"/>
        </w:rPr>
      </w:pPr>
    </w:p>
    <w:p w14:paraId="12DBAC81" w14:textId="77777777" w:rsidR="00DD3320" w:rsidRPr="00DD3320" w:rsidRDefault="00DD3320" w:rsidP="00DD3320">
      <w:pPr>
        <w:widowControl w:val="0"/>
        <w:autoSpaceDE w:val="0"/>
        <w:autoSpaceDN w:val="0"/>
        <w:adjustRightInd w:val="0"/>
        <w:rPr>
          <w:color w:val="191919"/>
          <w:sz w:val="24"/>
          <w:szCs w:val="24"/>
        </w:rPr>
      </w:pPr>
      <w:r w:rsidRPr="00DD3320">
        <w:rPr>
          <w:color w:val="191919"/>
          <w:sz w:val="24"/>
          <w:szCs w:val="24"/>
        </w:rPr>
        <w:t>1. Write a trace on one of these issues: rhetorical situation, subjectivity/identity, or audience. Use three theorists and only use readings from the course.</w:t>
      </w:r>
    </w:p>
    <w:p w14:paraId="107595BA" w14:textId="77777777" w:rsidR="00DD3320" w:rsidRPr="00DD3320" w:rsidRDefault="00DD3320" w:rsidP="00DD3320">
      <w:pPr>
        <w:widowControl w:val="0"/>
        <w:autoSpaceDE w:val="0"/>
        <w:autoSpaceDN w:val="0"/>
        <w:adjustRightInd w:val="0"/>
        <w:rPr>
          <w:color w:val="191919"/>
          <w:sz w:val="24"/>
          <w:szCs w:val="24"/>
        </w:rPr>
      </w:pPr>
    </w:p>
    <w:p w14:paraId="09FDB147" w14:textId="77777777" w:rsidR="00DD3320" w:rsidRPr="00DD3320" w:rsidRDefault="00DD3320" w:rsidP="00DD3320">
      <w:pPr>
        <w:widowControl w:val="0"/>
        <w:autoSpaceDE w:val="0"/>
        <w:autoSpaceDN w:val="0"/>
        <w:adjustRightInd w:val="0"/>
        <w:rPr>
          <w:color w:val="191919"/>
          <w:sz w:val="24"/>
          <w:szCs w:val="24"/>
        </w:rPr>
      </w:pPr>
      <w:r w:rsidRPr="00DD3320">
        <w:rPr>
          <w:color w:val="191919"/>
          <w:sz w:val="24"/>
          <w:szCs w:val="24"/>
        </w:rPr>
        <w:t>OR</w:t>
      </w:r>
    </w:p>
    <w:p w14:paraId="6486A6D0" w14:textId="77777777" w:rsidR="00DD3320" w:rsidRPr="00DD3320" w:rsidRDefault="00DD3320" w:rsidP="00DD3320">
      <w:pPr>
        <w:widowControl w:val="0"/>
        <w:autoSpaceDE w:val="0"/>
        <w:autoSpaceDN w:val="0"/>
        <w:adjustRightInd w:val="0"/>
        <w:rPr>
          <w:color w:val="191919"/>
          <w:sz w:val="24"/>
          <w:szCs w:val="24"/>
        </w:rPr>
      </w:pPr>
    </w:p>
    <w:p w14:paraId="38A78855" w14:textId="77777777" w:rsidR="00DD3320" w:rsidRPr="00DD3320" w:rsidRDefault="00DD3320" w:rsidP="00DD3320">
      <w:pPr>
        <w:widowControl w:val="0"/>
        <w:autoSpaceDE w:val="0"/>
        <w:autoSpaceDN w:val="0"/>
        <w:adjustRightInd w:val="0"/>
        <w:rPr>
          <w:color w:val="191919"/>
          <w:sz w:val="24"/>
          <w:szCs w:val="24"/>
        </w:rPr>
      </w:pPr>
      <w:r w:rsidRPr="00DD3320">
        <w:rPr>
          <w:color w:val="191919"/>
          <w:sz w:val="24"/>
          <w:szCs w:val="24"/>
        </w:rPr>
        <w:t>2. This essay response is based on what is called in the field as the Lauer/</w:t>
      </w:r>
      <w:proofErr w:type="spellStart"/>
      <w:r w:rsidRPr="00DD3320">
        <w:rPr>
          <w:color w:val="191919"/>
          <w:sz w:val="24"/>
          <w:szCs w:val="24"/>
        </w:rPr>
        <w:t>Berthoff</w:t>
      </w:r>
      <w:proofErr w:type="spellEnd"/>
      <w:r w:rsidRPr="00DD3320">
        <w:rPr>
          <w:color w:val="191919"/>
          <w:sz w:val="24"/>
          <w:szCs w:val="24"/>
        </w:rPr>
        <w:t xml:space="preserve"> debate. Using only the primary articles we read, analyze Lauer and </w:t>
      </w:r>
      <w:proofErr w:type="spellStart"/>
      <w:r w:rsidRPr="00DD3320">
        <w:rPr>
          <w:color w:val="191919"/>
          <w:sz w:val="24"/>
          <w:szCs w:val="24"/>
        </w:rPr>
        <w:t>Berthoff’s</w:t>
      </w:r>
      <w:proofErr w:type="spellEnd"/>
      <w:r w:rsidRPr="00DD3320">
        <w:rPr>
          <w:color w:val="191919"/>
          <w:sz w:val="24"/>
          <w:szCs w:val="24"/>
        </w:rPr>
        <w:t xml:space="preserve"> exchanges using stasis theory. (Before, you begin, determine all of the issues [explicit and implicit] involved in the exchange.)</w:t>
      </w:r>
    </w:p>
    <w:p w14:paraId="1719B361" w14:textId="77777777" w:rsidR="009C2733" w:rsidRPr="00DD3320" w:rsidRDefault="009C2733" w:rsidP="009C2733">
      <w:pPr>
        <w:rPr>
          <w:b/>
          <w:sz w:val="24"/>
          <w:szCs w:val="24"/>
        </w:rPr>
      </w:pPr>
    </w:p>
    <w:p w14:paraId="060E82E6" w14:textId="77777777" w:rsidR="00DD3320" w:rsidRPr="00DD3320" w:rsidRDefault="00DD3320" w:rsidP="009C2733">
      <w:pPr>
        <w:rPr>
          <w:sz w:val="24"/>
          <w:szCs w:val="24"/>
        </w:rPr>
      </w:pPr>
    </w:p>
    <w:p w14:paraId="2DBF7282" w14:textId="01CACF50" w:rsidR="009C2733" w:rsidRPr="00DD3320" w:rsidRDefault="00DD3320" w:rsidP="009C2733">
      <w:pPr>
        <w:rPr>
          <w:b/>
          <w:sz w:val="24"/>
          <w:szCs w:val="24"/>
        </w:rPr>
      </w:pPr>
      <w:r w:rsidRPr="00DD3320">
        <w:rPr>
          <w:b/>
          <w:sz w:val="24"/>
          <w:szCs w:val="24"/>
        </w:rPr>
        <w:t>RWS</w:t>
      </w:r>
      <w:r w:rsidR="009C2733" w:rsidRPr="00DD3320">
        <w:rPr>
          <w:b/>
          <w:sz w:val="24"/>
          <w:szCs w:val="24"/>
        </w:rPr>
        <w:t xml:space="preserve"> 6320: Advanced Critical Theory</w:t>
      </w:r>
    </w:p>
    <w:p w14:paraId="2498A405" w14:textId="77777777" w:rsidR="009C2733" w:rsidRPr="00DD3320" w:rsidRDefault="009C2733" w:rsidP="009C2733">
      <w:pPr>
        <w:rPr>
          <w:b/>
          <w:sz w:val="24"/>
          <w:szCs w:val="24"/>
        </w:rPr>
      </w:pPr>
    </w:p>
    <w:p w14:paraId="3835CBB1" w14:textId="3E9176B9" w:rsidR="009C2733" w:rsidRPr="00DD3320" w:rsidRDefault="009C2733" w:rsidP="00DD3320">
      <w:pPr>
        <w:widowControl w:val="0"/>
        <w:autoSpaceDE w:val="0"/>
        <w:autoSpaceDN w:val="0"/>
        <w:adjustRightInd w:val="0"/>
        <w:rPr>
          <w:rFonts w:eastAsiaTheme="minorEastAsia"/>
          <w:sz w:val="24"/>
          <w:szCs w:val="24"/>
        </w:rPr>
      </w:pPr>
      <w:r w:rsidRPr="00DD3320">
        <w:rPr>
          <w:sz w:val="24"/>
          <w:szCs w:val="24"/>
        </w:rPr>
        <w:t xml:space="preserve">Discuss in detail </w:t>
      </w:r>
      <w:r w:rsidRPr="00DD3320">
        <w:rPr>
          <w:b/>
          <w:sz w:val="24"/>
          <w:szCs w:val="24"/>
        </w:rPr>
        <w:t>one</w:t>
      </w:r>
      <w:r w:rsidRPr="00DD3320">
        <w:rPr>
          <w:sz w:val="24"/>
          <w:szCs w:val="24"/>
        </w:rPr>
        <w:t xml:space="preserve"> of the terms listed below in relation to issues of </w:t>
      </w:r>
      <w:r w:rsidRPr="00DD3320">
        <w:rPr>
          <w:b/>
          <w:sz w:val="24"/>
          <w:szCs w:val="24"/>
        </w:rPr>
        <w:t xml:space="preserve">language </w:t>
      </w:r>
      <w:r w:rsidRPr="00DD3320">
        <w:rPr>
          <w:b/>
          <w:i/>
          <w:sz w:val="24"/>
          <w:szCs w:val="24"/>
        </w:rPr>
        <w:t>and</w:t>
      </w:r>
      <w:r w:rsidRPr="00DD3320">
        <w:rPr>
          <w:b/>
          <w:sz w:val="24"/>
          <w:szCs w:val="24"/>
        </w:rPr>
        <w:t xml:space="preserve"> race.</w:t>
      </w:r>
      <w:r w:rsidR="00970C75">
        <w:rPr>
          <w:sz w:val="24"/>
          <w:szCs w:val="24"/>
        </w:rPr>
        <w:t xml:space="preserve">  Use at least three</w:t>
      </w:r>
      <w:r w:rsidRPr="00DD3320">
        <w:rPr>
          <w:sz w:val="24"/>
          <w:szCs w:val="24"/>
        </w:rPr>
        <w:t xml:space="preserve"> scholars from the course</w:t>
      </w:r>
      <w:r w:rsidR="00DD3320">
        <w:rPr>
          <w:sz w:val="24"/>
          <w:szCs w:val="24"/>
        </w:rPr>
        <w:t xml:space="preserve">, </w:t>
      </w:r>
      <w:r w:rsidR="00970C75">
        <w:rPr>
          <w:sz w:val="24"/>
          <w:szCs w:val="24"/>
        </w:rPr>
        <w:t>and base your answers primarily</w:t>
      </w:r>
      <w:r w:rsidRPr="00DD3320">
        <w:rPr>
          <w:sz w:val="24"/>
          <w:szCs w:val="24"/>
        </w:rPr>
        <w:t xml:space="preserve"> </w:t>
      </w:r>
      <w:r w:rsidRPr="00DD3320">
        <w:rPr>
          <w:rFonts w:eastAsiaTheme="minorEastAsia"/>
          <w:sz w:val="24"/>
          <w:szCs w:val="24"/>
        </w:rPr>
        <w:t>on the texts we studied in the class.</w:t>
      </w:r>
      <w:r w:rsidR="00DD3320" w:rsidRPr="00DD3320">
        <w:rPr>
          <w:rFonts w:eastAsiaTheme="minorEastAsia"/>
          <w:sz w:val="24"/>
          <w:szCs w:val="24"/>
        </w:rPr>
        <w:t xml:space="preserve">  </w:t>
      </w:r>
      <w:r w:rsidRPr="00DD3320">
        <w:rPr>
          <w:sz w:val="24"/>
          <w:szCs w:val="24"/>
        </w:rPr>
        <w:t>Cover the meaning(s) of the term as well as its strategic uses.  Throughout your response, you should be making an argument that demonstrates that the concept under discussion opens up important areas of inquiry for the RWS field.</w:t>
      </w:r>
    </w:p>
    <w:p w14:paraId="02D425BD" w14:textId="77777777" w:rsidR="009C2733" w:rsidRPr="00DD3320" w:rsidRDefault="009C2733" w:rsidP="009C2733">
      <w:pPr>
        <w:rPr>
          <w:sz w:val="24"/>
          <w:szCs w:val="24"/>
        </w:rPr>
      </w:pPr>
    </w:p>
    <w:p w14:paraId="1FB86E5F" w14:textId="4D41E973" w:rsidR="009C2733" w:rsidRPr="00DD3320" w:rsidRDefault="009C2733" w:rsidP="009C2733">
      <w:pPr>
        <w:rPr>
          <w:sz w:val="24"/>
          <w:szCs w:val="24"/>
        </w:rPr>
      </w:pPr>
      <w:r w:rsidRPr="00DD3320">
        <w:rPr>
          <w:sz w:val="24"/>
          <w:szCs w:val="24"/>
        </w:rPr>
        <w:t>a</w:t>
      </w:r>
      <w:r w:rsidR="00DD3320" w:rsidRPr="00DD3320">
        <w:rPr>
          <w:sz w:val="24"/>
          <w:szCs w:val="24"/>
        </w:rPr>
        <w:t xml:space="preserve">) </w:t>
      </w:r>
      <w:proofErr w:type="gramStart"/>
      <w:r w:rsidR="00DD3320" w:rsidRPr="00DD3320">
        <w:rPr>
          <w:sz w:val="24"/>
          <w:szCs w:val="24"/>
        </w:rPr>
        <w:t>construction</w:t>
      </w:r>
      <w:proofErr w:type="gramEnd"/>
      <w:r w:rsidR="00DD3320" w:rsidRPr="00DD3320">
        <w:rPr>
          <w:sz w:val="24"/>
          <w:szCs w:val="24"/>
        </w:rPr>
        <w:t xml:space="preserve"> of the Other</w:t>
      </w:r>
    </w:p>
    <w:p w14:paraId="016EFA86" w14:textId="184DAA89" w:rsidR="009C2733" w:rsidRPr="00DD3320" w:rsidRDefault="00DD3320" w:rsidP="009C2733">
      <w:pPr>
        <w:rPr>
          <w:sz w:val="24"/>
          <w:szCs w:val="24"/>
        </w:rPr>
      </w:pPr>
      <w:r w:rsidRPr="00DD3320">
        <w:rPr>
          <w:sz w:val="24"/>
          <w:szCs w:val="24"/>
        </w:rPr>
        <w:t xml:space="preserve">b) </w:t>
      </w:r>
      <w:proofErr w:type="gramStart"/>
      <w:r w:rsidRPr="00DD3320">
        <w:rPr>
          <w:sz w:val="24"/>
          <w:szCs w:val="24"/>
        </w:rPr>
        <w:t>standard</w:t>
      </w:r>
      <w:proofErr w:type="gramEnd"/>
      <w:r w:rsidRPr="00DD3320">
        <w:rPr>
          <w:sz w:val="24"/>
          <w:szCs w:val="24"/>
        </w:rPr>
        <w:t xml:space="preserve"> language ideology</w:t>
      </w:r>
    </w:p>
    <w:p w14:paraId="198DA027" w14:textId="77777777" w:rsidR="009C2733" w:rsidRPr="00DD3320" w:rsidRDefault="009C2733" w:rsidP="009C2733">
      <w:pPr>
        <w:rPr>
          <w:sz w:val="24"/>
          <w:szCs w:val="24"/>
        </w:rPr>
      </w:pPr>
    </w:p>
    <w:p w14:paraId="6945B7DB" w14:textId="77777777" w:rsidR="009C2733" w:rsidRPr="00DD3320" w:rsidRDefault="009C2733" w:rsidP="009C2733">
      <w:pPr>
        <w:rPr>
          <w:sz w:val="24"/>
          <w:szCs w:val="24"/>
        </w:rPr>
      </w:pPr>
    </w:p>
    <w:p w14:paraId="32AB4109" w14:textId="32852895" w:rsidR="009C2733" w:rsidRPr="00DD3320" w:rsidRDefault="00DD3320" w:rsidP="009C2733">
      <w:pPr>
        <w:rPr>
          <w:b/>
          <w:sz w:val="24"/>
          <w:szCs w:val="24"/>
        </w:rPr>
      </w:pPr>
      <w:r w:rsidRPr="00DD3320">
        <w:rPr>
          <w:b/>
          <w:sz w:val="24"/>
          <w:szCs w:val="24"/>
        </w:rPr>
        <w:t>RWS</w:t>
      </w:r>
      <w:r w:rsidR="009C2733" w:rsidRPr="00DD3320">
        <w:rPr>
          <w:b/>
          <w:sz w:val="24"/>
          <w:szCs w:val="24"/>
        </w:rPr>
        <w:t xml:space="preserve"> 6321: Rhetoric &amp; Technology</w:t>
      </w:r>
    </w:p>
    <w:p w14:paraId="0A5DA99E" w14:textId="77777777" w:rsidR="00DD3320" w:rsidRPr="00DD3320" w:rsidRDefault="00DD3320" w:rsidP="009C2733">
      <w:pPr>
        <w:rPr>
          <w:b/>
          <w:sz w:val="24"/>
          <w:szCs w:val="24"/>
        </w:rPr>
      </w:pPr>
    </w:p>
    <w:p w14:paraId="3D83D917" w14:textId="77777777" w:rsidR="00DD3320" w:rsidRPr="00DD3320" w:rsidRDefault="00DD3320" w:rsidP="00DD3320">
      <w:pPr>
        <w:widowControl w:val="0"/>
        <w:autoSpaceDE w:val="0"/>
        <w:autoSpaceDN w:val="0"/>
        <w:adjustRightInd w:val="0"/>
        <w:spacing w:after="320"/>
        <w:rPr>
          <w:sz w:val="24"/>
          <w:szCs w:val="24"/>
        </w:rPr>
      </w:pPr>
      <w:r w:rsidRPr="00DD3320">
        <w:rPr>
          <w:sz w:val="24"/>
          <w:szCs w:val="24"/>
        </w:rPr>
        <w:t>Please choose either question below. While you are welcome to bring in an additional source, your responses should be largely based on scholarship from the course.</w:t>
      </w:r>
    </w:p>
    <w:p w14:paraId="062C2804" w14:textId="77777777" w:rsidR="00DD3320" w:rsidRPr="00DD3320" w:rsidRDefault="00DD3320" w:rsidP="00DD3320">
      <w:pPr>
        <w:widowControl w:val="0"/>
        <w:autoSpaceDE w:val="0"/>
        <w:autoSpaceDN w:val="0"/>
        <w:adjustRightInd w:val="0"/>
        <w:spacing w:after="320"/>
        <w:rPr>
          <w:sz w:val="24"/>
          <w:szCs w:val="24"/>
        </w:rPr>
      </w:pPr>
      <w:r w:rsidRPr="00DD3320">
        <w:rPr>
          <w:b/>
          <w:bCs/>
          <w:sz w:val="24"/>
          <w:szCs w:val="24"/>
        </w:rPr>
        <w:t>Question 1:</w:t>
      </w:r>
      <w:r w:rsidRPr="00DD3320">
        <w:rPr>
          <w:sz w:val="24"/>
          <w:szCs w:val="24"/>
        </w:rPr>
        <w:t xml:space="preserve"> Much of the scholarship on rhetoric and technology addresses shifting notions of literacy and what it means to be literate. Drawing upon 4-5 scholars from the course, focus your discussion on two of the following.</w:t>
      </w:r>
    </w:p>
    <w:p w14:paraId="6707E111" w14:textId="77777777" w:rsidR="00DD3320" w:rsidRPr="00DD3320" w:rsidRDefault="00DD3320" w:rsidP="00DD3320">
      <w:pPr>
        <w:widowControl w:val="0"/>
        <w:autoSpaceDE w:val="0"/>
        <w:autoSpaceDN w:val="0"/>
        <w:adjustRightInd w:val="0"/>
        <w:ind w:left="960" w:hanging="480"/>
        <w:rPr>
          <w:sz w:val="24"/>
          <w:szCs w:val="24"/>
        </w:rPr>
      </w:pPr>
      <w:proofErr w:type="gramStart"/>
      <w:r w:rsidRPr="00DD3320">
        <w:rPr>
          <w:sz w:val="24"/>
          <w:szCs w:val="24"/>
        </w:rPr>
        <w:t>o</w:t>
      </w:r>
      <w:proofErr w:type="gramEnd"/>
      <w:r w:rsidRPr="00DD3320">
        <w:rPr>
          <w:sz w:val="24"/>
          <w:szCs w:val="24"/>
        </w:rPr>
        <w:t>   Cultural implications</w:t>
      </w:r>
    </w:p>
    <w:p w14:paraId="34522B2F" w14:textId="77777777" w:rsidR="00DD3320" w:rsidRPr="00DD3320" w:rsidRDefault="00DD3320" w:rsidP="00DD3320">
      <w:pPr>
        <w:widowControl w:val="0"/>
        <w:autoSpaceDE w:val="0"/>
        <w:autoSpaceDN w:val="0"/>
        <w:adjustRightInd w:val="0"/>
        <w:ind w:left="960" w:hanging="480"/>
        <w:rPr>
          <w:sz w:val="24"/>
          <w:szCs w:val="24"/>
        </w:rPr>
      </w:pPr>
      <w:proofErr w:type="gramStart"/>
      <w:r w:rsidRPr="00DD3320">
        <w:rPr>
          <w:sz w:val="24"/>
          <w:szCs w:val="24"/>
        </w:rPr>
        <w:t>o</w:t>
      </w:r>
      <w:proofErr w:type="gramEnd"/>
      <w:r w:rsidRPr="00DD3320">
        <w:rPr>
          <w:sz w:val="24"/>
          <w:szCs w:val="24"/>
        </w:rPr>
        <w:t>   How we teach</w:t>
      </w:r>
    </w:p>
    <w:p w14:paraId="4F4F7407" w14:textId="77777777" w:rsidR="00DD3320" w:rsidRPr="00DD3320" w:rsidRDefault="00DD3320" w:rsidP="00DD3320">
      <w:pPr>
        <w:widowControl w:val="0"/>
        <w:autoSpaceDE w:val="0"/>
        <w:autoSpaceDN w:val="0"/>
        <w:adjustRightInd w:val="0"/>
        <w:ind w:left="960" w:hanging="480"/>
        <w:rPr>
          <w:sz w:val="24"/>
          <w:szCs w:val="24"/>
        </w:rPr>
      </w:pPr>
      <w:proofErr w:type="gramStart"/>
      <w:r w:rsidRPr="00DD3320">
        <w:rPr>
          <w:sz w:val="24"/>
          <w:szCs w:val="24"/>
        </w:rPr>
        <w:t>o</w:t>
      </w:r>
      <w:proofErr w:type="gramEnd"/>
      <w:r w:rsidRPr="00DD3320">
        <w:rPr>
          <w:sz w:val="24"/>
          <w:szCs w:val="24"/>
        </w:rPr>
        <w:t>   Correlation to WPA Outcomes 3.0</w:t>
      </w:r>
    </w:p>
    <w:p w14:paraId="36231519" w14:textId="77777777" w:rsidR="00DD3320" w:rsidRPr="00DD3320" w:rsidRDefault="00DD3320" w:rsidP="00DD3320">
      <w:pPr>
        <w:widowControl w:val="0"/>
        <w:autoSpaceDE w:val="0"/>
        <w:autoSpaceDN w:val="0"/>
        <w:adjustRightInd w:val="0"/>
        <w:ind w:left="960" w:hanging="480"/>
        <w:rPr>
          <w:sz w:val="24"/>
          <w:szCs w:val="24"/>
        </w:rPr>
      </w:pPr>
      <w:proofErr w:type="gramStart"/>
      <w:r w:rsidRPr="00DD3320">
        <w:rPr>
          <w:sz w:val="24"/>
          <w:szCs w:val="24"/>
        </w:rPr>
        <w:t>o</w:t>
      </w:r>
      <w:proofErr w:type="gramEnd"/>
      <w:r w:rsidRPr="00DD3320">
        <w:rPr>
          <w:sz w:val="24"/>
          <w:szCs w:val="24"/>
        </w:rPr>
        <w:t>   How we communicate</w:t>
      </w:r>
    </w:p>
    <w:p w14:paraId="7AED30C7" w14:textId="77777777" w:rsidR="00DD3320" w:rsidRPr="00DD3320" w:rsidRDefault="00DD3320" w:rsidP="00DD3320">
      <w:pPr>
        <w:widowControl w:val="0"/>
        <w:autoSpaceDE w:val="0"/>
        <w:autoSpaceDN w:val="0"/>
        <w:adjustRightInd w:val="0"/>
        <w:ind w:left="960" w:hanging="480"/>
        <w:rPr>
          <w:sz w:val="24"/>
          <w:szCs w:val="24"/>
        </w:rPr>
      </w:pPr>
      <w:proofErr w:type="gramStart"/>
      <w:r w:rsidRPr="00DD3320">
        <w:rPr>
          <w:sz w:val="24"/>
          <w:szCs w:val="24"/>
        </w:rPr>
        <w:t>o</w:t>
      </w:r>
      <w:proofErr w:type="gramEnd"/>
      <w:r w:rsidRPr="00DD3320">
        <w:rPr>
          <w:sz w:val="24"/>
          <w:szCs w:val="24"/>
        </w:rPr>
        <w:t>   How we engage in scholarship</w:t>
      </w:r>
    </w:p>
    <w:p w14:paraId="7875342E" w14:textId="77777777" w:rsidR="00DD3320" w:rsidRPr="00DD3320" w:rsidRDefault="00DD3320" w:rsidP="00DD3320">
      <w:pPr>
        <w:widowControl w:val="0"/>
        <w:autoSpaceDE w:val="0"/>
        <w:autoSpaceDN w:val="0"/>
        <w:adjustRightInd w:val="0"/>
        <w:rPr>
          <w:sz w:val="24"/>
          <w:szCs w:val="24"/>
        </w:rPr>
      </w:pPr>
    </w:p>
    <w:p w14:paraId="435FCC83" w14:textId="77777777" w:rsidR="00DD3320" w:rsidRPr="00DD3320" w:rsidRDefault="00DD3320" w:rsidP="00DD3320">
      <w:pPr>
        <w:widowControl w:val="0"/>
        <w:autoSpaceDE w:val="0"/>
        <w:autoSpaceDN w:val="0"/>
        <w:adjustRightInd w:val="0"/>
        <w:rPr>
          <w:sz w:val="24"/>
          <w:szCs w:val="24"/>
        </w:rPr>
      </w:pPr>
      <w:r w:rsidRPr="00DD3320">
        <w:rPr>
          <w:b/>
          <w:bCs/>
          <w:sz w:val="24"/>
          <w:szCs w:val="24"/>
        </w:rPr>
        <w:t xml:space="preserve">Question 2: </w:t>
      </w:r>
      <w:r w:rsidRPr="00DD3320">
        <w:rPr>
          <w:sz w:val="24"/>
          <w:szCs w:val="24"/>
        </w:rPr>
        <w:t xml:space="preserve">Several scholars in the course readings discussed how although the conceptualization and practice of literacy is shifting toward increasingly virtual realms, the roles and actions of the body remain significant, if not central. Draw on 4-5 scholars </w:t>
      </w:r>
      <w:r w:rsidRPr="00DD3320">
        <w:rPr>
          <w:sz w:val="24"/>
          <w:szCs w:val="24"/>
        </w:rPr>
        <w:lastRenderedPageBreak/>
        <w:t>to discuss the role/function of our physical selves in relation to digital writing/humanities.</w:t>
      </w:r>
    </w:p>
    <w:p w14:paraId="4D35848C" w14:textId="77777777" w:rsidR="00DD3320" w:rsidRPr="00DD3320" w:rsidRDefault="00DD3320" w:rsidP="00DD3320">
      <w:pPr>
        <w:widowControl w:val="0"/>
        <w:autoSpaceDE w:val="0"/>
        <w:autoSpaceDN w:val="0"/>
        <w:adjustRightInd w:val="0"/>
        <w:rPr>
          <w:color w:val="191919"/>
          <w:sz w:val="24"/>
          <w:szCs w:val="24"/>
        </w:rPr>
      </w:pPr>
      <w:r w:rsidRPr="00DD3320">
        <w:rPr>
          <w:sz w:val="24"/>
          <w:szCs w:val="24"/>
        </w:rPr>
        <w:t> </w:t>
      </w:r>
    </w:p>
    <w:p w14:paraId="4640C2F4" w14:textId="77777777" w:rsidR="00DD3320" w:rsidRPr="00DD3320" w:rsidRDefault="00DD3320" w:rsidP="009C2733">
      <w:pPr>
        <w:rPr>
          <w:b/>
          <w:sz w:val="24"/>
          <w:szCs w:val="24"/>
        </w:rPr>
      </w:pPr>
    </w:p>
    <w:p w14:paraId="3972AD34" w14:textId="77777777" w:rsidR="00DD3320" w:rsidRPr="00DD3320" w:rsidRDefault="00DD3320" w:rsidP="009C2733">
      <w:pPr>
        <w:rPr>
          <w:b/>
          <w:sz w:val="24"/>
          <w:szCs w:val="24"/>
        </w:rPr>
      </w:pPr>
    </w:p>
    <w:p w14:paraId="6EEACAC9" w14:textId="77777777" w:rsidR="009C2733" w:rsidRPr="00DD3320" w:rsidRDefault="009C2733" w:rsidP="009C2733">
      <w:pPr>
        <w:rPr>
          <w:b/>
          <w:sz w:val="24"/>
          <w:szCs w:val="24"/>
        </w:rPr>
      </w:pPr>
    </w:p>
    <w:p w14:paraId="62BC20D5" w14:textId="77777777" w:rsidR="000433BD" w:rsidRPr="00DD3320" w:rsidRDefault="000433BD">
      <w:pPr>
        <w:rPr>
          <w:sz w:val="24"/>
          <w:szCs w:val="24"/>
        </w:rPr>
      </w:pPr>
    </w:p>
    <w:sectPr w:rsidR="000433BD" w:rsidRPr="00DD3320" w:rsidSect="003B3B71">
      <w:headerReference w:type="default" r:id="rId7"/>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F6623" w14:textId="77777777" w:rsidR="0022333A" w:rsidRDefault="0022333A" w:rsidP="003B3B71">
      <w:r>
        <w:separator/>
      </w:r>
    </w:p>
  </w:endnote>
  <w:endnote w:type="continuationSeparator" w:id="0">
    <w:p w14:paraId="6C072257" w14:textId="77777777" w:rsidR="0022333A" w:rsidRDefault="0022333A" w:rsidP="003B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A5CA3" w14:textId="77777777" w:rsidR="0022333A" w:rsidRDefault="0022333A" w:rsidP="003B3B71">
      <w:r>
        <w:separator/>
      </w:r>
    </w:p>
  </w:footnote>
  <w:footnote w:type="continuationSeparator" w:id="0">
    <w:p w14:paraId="2A828D59" w14:textId="77777777" w:rsidR="0022333A" w:rsidRDefault="0022333A" w:rsidP="003B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6837" w14:textId="6AD94FF8" w:rsidR="003B3B71" w:rsidRPr="002E3400" w:rsidRDefault="003B3B71" w:rsidP="003B3B71">
    <w:pPr>
      <w:pStyle w:val="Header"/>
      <w:shd w:val="clear" w:color="auto" w:fill="E0E0E0"/>
      <w:rPr>
        <w:sz w:val="24"/>
        <w:szCs w:val="24"/>
      </w:rPr>
    </w:pPr>
    <w:r>
      <w:rPr>
        <w:sz w:val="24"/>
        <w:szCs w:val="24"/>
      </w:rPr>
      <w:t>2016</w:t>
    </w:r>
    <w:r w:rsidRPr="002E3400">
      <w:rPr>
        <w:sz w:val="24"/>
        <w:szCs w:val="24"/>
      </w:rPr>
      <w:t xml:space="preserve"> Qualifying Exam</w:t>
    </w:r>
    <w:r>
      <w:rPr>
        <w:sz w:val="24"/>
        <w:szCs w:val="24"/>
      </w:rPr>
      <w:t>, p</w:t>
    </w:r>
    <w:r w:rsidRPr="002E3400">
      <w:rPr>
        <w:sz w:val="24"/>
        <w:szCs w:val="24"/>
      </w:rPr>
      <w:t xml:space="preserve">age </w:t>
    </w:r>
    <w:r w:rsidRPr="002E3400">
      <w:rPr>
        <w:rStyle w:val="PageNumber"/>
        <w:sz w:val="24"/>
        <w:szCs w:val="24"/>
      </w:rPr>
      <w:fldChar w:fldCharType="begin"/>
    </w:r>
    <w:r w:rsidRPr="002E3400">
      <w:rPr>
        <w:rStyle w:val="PageNumber"/>
        <w:sz w:val="24"/>
        <w:szCs w:val="24"/>
      </w:rPr>
      <w:instrText xml:space="preserve"> PAGE </w:instrText>
    </w:r>
    <w:r w:rsidRPr="002E3400">
      <w:rPr>
        <w:rStyle w:val="PageNumber"/>
        <w:sz w:val="24"/>
        <w:szCs w:val="24"/>
      </w:rPr>
      <w:fldChar w:fldCharType="separate"/>
    </w:r>
    <w:r w:rsidR="008239EB">
      <w:rPr>
        <w:rStyle w:val="PageNumber"/>
        <w:noProof/>
        <w:sz w:val="24"/>
        <w:szCs w:val="24"/>
      </w:rPr>
      <w:t>2</w:t>
    </w:r>
    <w:r w:rsidRPr="002E3400">
      <w:rPr>
        <w:rStyle w:val="PageNumber"/>
        <w:sz w:val="24"/>
        <w:szCs w:val="24"/>
      </w:rPr>
      <w:fldChar w:fldCharType="end"/>
    </w:r>
    <w:r w:rsidRPr="002E3400">
      <w:rPr>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D61"/>
    <w:multiLevelType w:val="hybridMultilevel"/>
    <w:tmpl w:val="844AB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C2639"/>
    <w:multiLevelType w:val="hybridMultilevel"/>
    <w:tmpl w:val="E5940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42466"/>
    <w:multiLevelType w:val="hybridMultilevel"/>
    <w:tmpl w:val="31AC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A1D5D"/>
    <w:multiLevelType w:val="hybridMultilevel"/>
    <w:tmpl w:val="469C5C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39432A"/>
    <w:multiLevelType w:val="hybridMultilevel"/>
    <w:tmpl w:val="BEDA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35"/>
    <w:rsid w:val="000433BD"/>
    <w:rsid w:val="000E0835"/>
    <w:rsid w:val="0022333A"/>
    <w:rsid w:val="003B3B71"/>
    <w:rsid w:val="008239EB"/>
    <w:rsid w:val="00970C75"/>
    <w:rsid w:val="009C2733"/>
    <w:rsid w:val="00DD3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6202E"/>
  <w14:defaultImageDpi w14:val="300"/>
  <w15:docId w15:val="{CF5106BE-AA62-434A-B4C2-7D705A9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73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2733"/>
    <w:pPr>
      <w:tabs>
        <w:tab w:val="center" w:pos="4320"/>
        <w:tab w:val="right" w:pos="8640"/>
      </w:tabs>
    </w:pPr>
  </w:style>
  <w:style w:type="character" w:customStyle="1" w:styleId="HeaderChar">
    <w:name w:val="Header Char"/>
    <w:basedOn w:val="DefaultParagraphFont"/>
    <w:link w:val="Header"/>
    <w:rsid w:val="009C2733"/>
    <w:rPr>
      <w:rFonts w:ascii="Times New Roman" w:eastAsia="Times New Roman" w:hAnsi="Times New Roman" w:cs="Times New Roman"/>
      <w:sz w:val="20"/>
      <w:szCs w:val="20"/>
    </w:rPr>
  </w:style>
  <w:style w:type="character" w:styleId="PageNumber">
    <w:name w:val="page number"/>
    <w:basedOn w:val="DefaultParagraphFont"/>
    <w:rsid w:val="009C2733"/>
  </w:style>
  <w:style w:type="character" w:styleId="Strong">
    <w:name w:val="Strong"/>
    <w:basedOn w:val="DefaultParagraphFont"/>
    <w:qFormat/>
    <w:rsid w:val="009C2733"/>
    <w:rPr>
      <w:b/>
      <w:bCs/>
    </w:rPr>
  </w:style>
  <w:style w:type="paragraph" w:styleId="ListParagraph">
    <w:name w:val="List Paragraph"/>
    <w:basedOn w:val="Normal"/>
    <w:uiPriority w:val="34"/>
    <w:qFormat/>
    <w:rsid w:val="009C2733"/>
    <w:pPr>
      <w:ind w:left="720"/>
      <w:contextualSpacing/>
    </w:pPr>
  </w:style>
  <w:style w:type="paragraph" w:styleId="Footer">
    <w:name w:val="footer"/>
    <w:basedOn w:val="Normal"/>
    <w:link w:val="FooterChar"/>
    <w:uiPriority w:val="99"/>
    <w:unhideWhenUsed/>
    <w:rsid w:val="003B3B71"/>
    <w:pPr>
      <w:tabs>
        <w:tab w:val="center" w:pos="4320"/>
        <w:tab w:val="right" w:pos="8640"/>
      </w:tabs>
    </w:pPr>
  </w:style>
  <w:style w:type="character" w:customStyle="1" w:styleId="FooterChar">
    <w:name w:val="Footer Char"/>
    <w:basedOn w:val="DefaultParagraphFont"/>
    <w:link w:val="Footer"/>
    <w:uiPriority w:val="99"/>
    <w:rsid w:val="003B3B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TX at El Paso</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Mangelsdorf</dc:creator>
  <cp:keywords/>
  <dc:description/>
  <cp:lastModifiedBy>Mitzel Aveytia</cp:lastModifiedBy>
  <cp:revision>2</cp:revision>
  <dcterms:created xsi:type="dcterms:W3CDTF">2016-08-05T13:11:00Z</dcterms:created>
  <dcterms:modified xsi:type="dcterms:W3CDTF">2016-08-05T13:11:00Z</dcterms:modified>
</cp:coreProperties>
</file>