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64C" w:rsidRPr="00877422" w:rsidRDefault="00877422">
      <w:pPr>
        <w:rPr>
          <w:b/>
        </w:rPr>
      </w:pPr>
      <w:r w:rsidRPr="00877422">
        <w:rPr>
          <w:b/>
        </w:rPr>
        <w:t>Writing Lab Newsletter</w:t>
      </w:r>
    </w:p>
    <w:p w:rsidR="00877422" w:rsidRDefault="00877422" w:rsidP="00877422">
      <w:pPr>
        <w:widowControl w:val="0"/>
        <w:autoSpaceDE w:val="0"/>
        <w:autoSpaceDN w:val="0"/>
        <w:adjustRightInd w:val="0"/>
        <w:rPr>
          <w:rFonts w:ascii="ê" w:hAnsi="ê" w:cs="ê"/>
          <w:sz w:val="22"/>
          <w:szCs w:val="22"/>
        </w:rPr>
      </w:pPr>
    </w:p>
    <w:p w:rsidR="00877422" w:rsidRDefault="00877422" w:rsidP="00877422">
      <w:pPr>
        <w:widowControl w:val="0"/>
        <w:autoSpaceDE w:val="0"/>
        <w:autoSpaceDN w:val="0"/>
        <w:adjustRightInd w:val="0"/>
        <w:rPr>
          <w:rFonts w:ascii="ê" w:hAnsi="ê" w:cs="ê"/>
          <w:sz w:val="22"/>
          <w:szCs w:val="22"/>
        </w:rPr>
      </w:pPr>
      <w:proofErr w:type="gramStart"/>
      <w:r>
        <w:rPr>
          <w:rFonts w:ascii="ê" w:hAnsi="ê" w:cs="ê"/>
          <w:sz w:val="22"/>
          <w:szCs w:val="22"/>
        </w:rPr>
        <w:t xml:space="preserve">Blain </w:t>
      </w:r>
      <w:proofErr w:type="spellStart"/>
      <w:r>
        <w:rPr>
          <w:rFonts w:ascii="ê" w:hAnsi="ê" w:cs="ê"/>
          <w:sz w:val="22"/>
          <w:szCs w:val="22"/>
        </w:rPr>
        <w:t>Vorhies</w:t>
      </w:r>
      <w:proofErr w:type="spellEnd"/>
      <w:r>
        <w:rPr>
          <w:rFonts w:ascii="ê" w:hAnsi="ê" w:cs="ê"/>
          <w:sz w:val="22"/>
          <w:szCs w:val="22"/>
        </w:rPr>
        <w:t>, Heather.</w:t>
      </w:r>
      <w:proofErr w:type="gramEnd"/>
      <w:r>
        <w:rPr>
          <w:rFonts w:ascii="ê" w:hAnsi="ê" w:cs="ê"/>
          <w:sz w:val="22"/>
          <w:szCs w:val="22"/>
        </w:rPr>
        <w:t xml:space="preserve"> “Building Professional Scholars: The Writing Center at the Graduate Level.” </w:t>
      </w:r>
      <w:r w:rsidRPr="00877422">
        <w:rPr>
          <w:rFonts w:ascii="ê" w:hAnsi="ê" w:cs="ê"/>
          <w:i/>
          <w:sz w:val="22"/>
          <w:szCs w:val="22"/>
        </w:rPr>
        <w:t>Writing Lab Newsletter</w:t>
      </w:r>
      <w:r>
        <w:rPr>
          <w:rFonts w:ascii="ê" w:hAnsi="ê" w:cs="ê"/>
          <w:sz w:val="22"/>
          <w:szCs w:val="22"/>
        </w:rPr>
        <w:t>.</w:t>
      </w:r>
      <w:r>
        <w:rPr>
          <w:rFonts w:ascii="ê" w:hAnsi="ê" w:cs="ê"/>
          <w:i/>
          <w:sz w:val="22"/>
          <w:szCs w:val="22"/>
        </w:rPr>
        <w:t xml:space="preserve"> </w:t>
      </w:r>
      <w:r w:rsidRPr="00877422">
        <w:rPr>
          <w:rFonts w:ascii="ê" w:hAnsi="ê" w:cs="ê"/>
          <w:sz w:val="22"/>
          <w:szCs w:val="22"/>
        </w:rPr>
        <w:t>39.56</w:t>
      </w:r>
      <w:r>
        <w:rPr>
          <w:rFonts w:ascii="ê" w:hAnsi="ê" w:cs="ê"/>
          <w:sz w:val="22"/>
          <w:szCs w:val="22"/>
        </w:rPr>
        <w:t xml:space="preserve"> (2015): 69. Print.</w:t>
      </w:r>
    </w:p>
    <w:p w:rsidR="00877422" w:rsidRDefault="00877422" w:rsidP="00877422">
      <w:pPr>
        <w:widowControl w:val="0"/>
        <w:autoSpaceDE w:val="0"/>
        <w:autoSpaceDN w:val="0"/>
        <w:adjustRightInd w:val="0"/>
        <w:rPr>
          <w:rFonts w:ascii="ê" w:hAnsi="ê" w:cs="ê"/>
          <w:sz w:val="22"/>
          <w:szCs w:val="22"/>
        </w:rPr>
      </w:pPr>
    </w:p>
    <w:p w:rsidR="00877422" w:rsidRDefault="00877422" w:rsidP="00877422">
      <w:pPr>
        <w:widowControl w:val="0"/>
        <w:autoSpaceDE w:val="0"/>
        <w:autoSpaceDN w:val="0"/>
        <w:adjustRightInd w:val="0"/>
        <w:rPr>
          <w:rFonts w:ascii="ê" w:hAnsi="ê" w:cs="ê"/>
          <w:sz w:val="22"/>
          <w:szCs w:val="22"/>
        </w:rPr>
      </w:pPr>
      <w:r>
        <w:rPr>
          <w:rFonts w:ascii="ê" w:hAnsi="ê" w:cs="ê"/>
          <w:sz w:val="22"/>
          <w:szCs w:val="22"/>
        </w:rPr>
        <w:t xml:space="preserve">Summary </w:t>
      </w:r>
    </w:p>
    <w:p w:rsidR="00877422" w:rsidRDefault="00877422" w:rsidP="00877422">
      <w:pPr>
        <w:widowControl w:val="0"/>
        <w:autoSpaceDE w:val="0"/>
        <w:autoSpaceDN w:val="0"/>
        <w:adjustRightInd w:val="0"/>
        <w:rPr>
          <w:rFonts w:ascii="ê" w:hAnsi="ê" w:cs="ê"/>
          <w:sz w:val="22"/>
          <w:szCs w:val="22"/>
        </w:rPr>
      </w:pPr>
    </w:p>
    <w:p w:rsidR="00877422" w:rsidRPr="00877422" w:rsidRDefault="00877422" w:rsidP="00877422">
      <w:pPr>
        <w:widowControl w:val="0"/>
        <w:autoSpaceDE w:val="0"/>
        <w:autoSpaceDN w:val="0"/>
        <w:adjustRightInd w:val="0"/>
        <w:rPr>
          <w:rFonts w:ascii="ê" w:hAnsi="ê" w:cs="ê"/>
          <w:sz w:val="22"/>
          <w:szCs w:val="22"/>
        </w:rPr>
      </w:pPr>
      <w:r>
        <w:rPr>
          <w:rFonts w:ascii="ê" w:hAnsi="ê" w:cs="ê"/>
          <w:sz w:val="22"/>
          <w:szCs w:val="22"/>
        </w:rPr>
        <w:t xml:space="preserve">Heather Blain </w:t>
      </w:r>
      <w:proofErr w:type="spellStart"/>
      <w:r>
        <w:rPr>
          <w:rFonts w:ascii="ê" w:hAnsi="ê" w:cs="ê"/>
          <w:sz w:val="22"/>
          <w:szCs w:val="22"/>
        </w:rPr>
        <w:t>Vorhies’s</w:t>
      </w:r>
      <w:proofErr w:type="spellEnd"/>
      <w:r>
        <w:rPr>
          <w:rFonts w:ascii="ê" w:hAnsi="ê" w:cs="ê"/>
          <w:sz w:val="22"/>
          <w:szCs w:val="22"/>
        </w:rPr>
        <w:t xml:space="preserve"> “Building Professional Scholars” brings to light the common misconception that graduate students are expert writers</w:t>
      </w:r>
      <w:r w:rsidR="00647E8C">
        <w:rPr>
          <w:rFonts w:ascii="ê" w:hAnsi="ê" w:cs="ê"/>
          <w:sz w:val="22"/>
          <w:szCs w:val="22"/>
        </w:rPr>
        <w:t xml:space="preserve">. Blain </w:t>
      </w:r>
      <w:proofErr w:type="spellStart"/>
      <w:r w:rsidR="00647E8C">
        <w:rPr>
          <w:rFonts w:ascii="ê" w:hAnsi="ê" w:cs="ê"/>
          <w:sz w:val="22"/>
          <w:szCs w:val="22"/>
        </w:rPr>
        <w:t>Vorhies</w:t>
      </w:r>
      <w:proofErr w:type="spellEnd"/>
      <w:r w:rsidR="00647E8C">
        <w:rPr>
          <w:rFonts w:ascii="ê" w:hAnsi="ê" w:cs="ê"/>
          <w:sz w:val="22"/>
          <w:szCs w:val="22"/>
        </w:rPr>
        <w:t xml:space="preserve"> demonstrates</w:t>
      </w:r>
      <w:r>
        <w:rPr>
          <w:rFonts w:ascii="ê" w:hAnsi="ê" w:cs="ê"/>
          <w:sz w:val="22"/>
          <w:szCs w:val="22"/>
        </w:rPr>
        <w:t xml:space="preserve"> </w:t>
      </w:r>
      <w:r w:rsidR="00647E8C">
        <w:rPr>
          <w:rFonts w:ascii="ê" w:hAnsi="ê" w:cs="ê"/>
          <w:sz w:val="22"/>
          <w:szCs w:val="22"/>
        </w:rPr>
        <w:t>how</w:t>
      </w:r>
      <w:r>
        <w:rPr>
          <w:rFonts w:ascii="ê" w:hAnsi="ê" w:cs="ê"/>
          <w:sz w:val="22"/>
          <w:szCs w:val="22"/>
        </w:rPr>
        <w:t xml:space="preserve"> </w:t>
      </w:r>
      <w:r w:rsidR="00074439">
        <w:rPr>
          <w:rFonts w:ascii="ê" w:hAnsi="ê" w:cs="ê"/>
          <w:sz w:val="22"/>
          <w:szCs w:val="22"/>
        </w:rPr>
        <w:t>univeristy</w:t>
      </w:r>
      <w:bookmarkStart w:id="0" w:name="_GoBack"/>
      <w:bookmarkEnd w:id="0"/>
      <w:r>
        <w:rPr>
          <w:rFonts w:ascii="ê" w:hAnsi="ê" w:cs="ê"/>
          <w:sz w:val="22"/>
          <w:szCs w:val="22"/>
        </w:rPr>
        <w:t xml:space="preserve"> writing centers serve </w:t>
      </w:r>
      <w:r w:rsidR="00647E8C">
        <w:rPr>
          <w:rFonts w:ascii="ê" w:hAnsi="ê" w:cs="ê"/>
          <w:sz w:val="22"/>
          <w:szCs w:val="22"/>
        </w:rPr>
        <w:t xml:space="preserve">a vital role for </w:t>
      </w:r>
      <w:r>
        <w:rPr>
          <w:rFonts w:ascii="ê" w:hAnsi="ê" w:cs="ê"/>
          <w:sz w:val="22"/>
          <w:szCs w:val="22"/>
        </w:rPr>
        <w:t>graduate students</w:t>
      </w:r>
      <w:r w:rsidR="00647E8C">
        <w:rPr>
          <w:rFonts w:ascii="ê" w:hAnsi="ê" w:cs="ê"/>
          <w:sz w:val="22"/>
          <w:szCs w:val="22"/>
        </w:rPr>
        <w:t xml:space="preserve"> because they</w:t>
      </w:r>
      <w:r>
        <w:rPr>
          <w:rFonts w:ascii="ê" w:hAnsi="ê" w:cs="ê"/>
          <w:sz w:val="22"/>
          <w:szCs w:val="22"/>
        </w:rPr>
        <w:t xml:space="preserve"> are more than likely the only place on campus where graduate students are provided writing instruction. In order for writing centers to be most effective for their graduate student population, Blain </w:t>
      </w:r>
      <w:proofErr w:type="spellStart"/>
      <w:r>
        <w:rPr>
          <w:rFonts w:ascii="ê" w:hAnsi="ê" w:cs="ê"/>
          <w:sz w:val="22"/>
          <w:szCs w:val="22"/>
        </w:rPr>
        <w:t>Vorhies</w:t>
      </w:r>
      <w:proofErr w:type="spellEnd"/>
      <w:r>
        <w:rPr>
          <w:rFonts w:ascii="ê" w:hAnsi="ê" w:cs="ê"/>
          <w:sz w:val="22"/>
          <w:szCs w:val="22"/>
        </w:rPr>
        <w:t xml:space="preserve"> provi</w:t>
      </w:r>
      <w:r w:rsidR="00647E8C">
        <w:rPr>
          <w:rFonts w:ascii="ê" w:hAnsi="ê" w:cs="ê"/>
          <w:sz w:val="22"/>
          <w:szCs w:val="22"/>
        </w:rPr>
        <w:t>des three key suggestions: 1) treat graduate writers as profe</w:t>
      </w:r>
      <w:r>
        <w:rPr>
          <w:rFonts w:ascii="ê" w:hAnsi="ê" w:cs="ê"/>
          <w:sz w:val="22"/>
          <w:szCs w:val="22"/>
        </w:rPr>
        <w:t xml:space="preserve">ssionals; 2) disciplinary genre expertise by the tutor; 3) </w:t>
      </w:r>
      <w:r w:rsidR="00647E8C">
        <w:rPr>
          <w:rFonts w:ascii="ê" w:hAnsi="ê" w:cs="ê"/>
          <w:sz w:val="22"/>
          <w:szCs w:val="22"/>
        </w:rPr>
        <w:t>alternative consulting methods.  Whi</w:t>
      </w:r>
      <w:r w:rsidR="00074439">
        <w:rPr>
          <w:rFonts w:ascii="ê" w:hAnsi="ê" w:cs="ê"/>
          <w:sz w:val="22"/>
          <w:szCs w:val="22"/>
        </w:rPr>
        <w:t>le these three suggestions seem simple</w:t>
      </w:r>
      <w:r w:rsidR="00647E8C">
        <w:rPr>
          <w:rFonts w:ascii="ê" w:hAnsi="ê" w:cs="ê"/>
          <w:sz w:val="22"/>
          <w:szCs w:val="22"/>
        </w:rPr>
        <w:t>,</w:t>
      </w:r>
      <w:r w:rsidR="00074439">
        <w:rPr>
          <w:rFonts w:ascii="ê" w:hAnsi="ê" w:cs="ê"/>
          <w:sz w:val="22"/>
          <w:szCs w:val="22"/>
        </w:rPr>
        <w:t xml:space="preserve"> writing centers may find that the implementation is much more difficult than it appears. Through a study of the Graduate Writing Center at the University of Maryland, </w:t>
      </w:r>
      <w:r w:rsidR="00647E8C">
        <w:rPr>
          <w:rFonts w:ascii="ê" w:hAnsi="ê" w:cs="ê"/>
          <w:sz w:val="22"/>
          <w:szCs w:val="22"/>
        </w:rPr>
        <w:t xml:space="preserve">Blain </w:t>
      </w:r>
      <w:proofErr w:type="spellStart"/>
      <w:r w:rsidR="00647E8C">
        <w:rPr>
          <w:rFonts w:ascii="ê" w:hAnsi="ê" w:cs="ê"/>
          <w:sz w:val="22"/>
          <w:szCs w:val="22"/>
        </w:rPr>
        <w:t>Vorhies</w:t>
      </w:r>
      <w:proofErr w:type="spellEnd"/>
      <w:r w:rsidR="00647E8C">
        <w:rPr>
          <w:rFonts w:ascii="ê" w:hAnsi="ê" w:cs="ê"/>
          <w:sz w:val="22"/>
          <w:szCs w:val="22"/>
        </w:rPr>
        <w:t xml:space="preserve"> </w:t>
      </w:r>
      <w:r w:rsidR="00074439">
        <w:rPr>
          <w:rFonts w:ascii="ê" w:hAnsi="ê" w:cs="ê"/>
          <w:sz w:val="22"/>
          <w:szCs w:val="22"/>
        </w:rPr>
        <w:t xml:space="preserve">provides valuable examples of how other writing centers across the nation can better serve the needs of their graduate student population. </w:t>
      </w:r>
    </w:p>
    <w:sectPr w:rsidR="00877422" w:rsidRPr="00877422" w:rsidSect="0071707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ê">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422"/>
    <w:rsid w:val="00074439"/>
    <w:rsid w:val="0014564C"/>
    <w:rsid w:val="00647E8C"/>
    <w:rsid w:val="0071707B"/>
    <w:rsid w:val="00877422"/>
    <w:rsid w:val="00986F5E"/>
    <w:rsid w:val="00C94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8EA5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174</Words>
  <Characters>992</Characters>
  <Application>Microsoft Macintosh Word</Application>
  <DocSecurity>0</DocSecurity>
  <Lines>8</Lines>
  <Paragraphs>2</Paragraphs>
  <ScaleCrop>false</ScaleCrop>
  <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Consuelo Salas</dc:creator>
  <cp:keywords/>
  <dc:description/>
  <cp:lastModifiedBy>Consuelo Salas</cp:lastModifiedBy>
  <cp:revision>1</cp:revision>
  <dcterms:created xsi:type="dcterms:W3CDTF">2015-10-24T14:14:00Z</dcterms:created>
  <dcterms:modified xsi:type="dcterms:W3CDTF">2015-10-24T16:01:00Z</dcterms:modified>
</cp:coreProperties>
</file>